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790" w:rsidRPr="000044DB" w:rsidRDefault="00C31C77" w:rsidP="00DA7B2F">
      <w:pPr>
        <w:rPr>
          <w:rFonts w:asciiTheme="minorHAnsi" w:hAnsiTheme="minorHAnsi" w:cstheme="minorHAnsi"/>
        </w:rPr>
      </w:pPr>
      <w:r w:rsidRPr="000044DB">
        <w:rPr>
          <w:rFonts w:asciiTheme="minorHAnsi" w:hAnsiTheme="minorHAnsi" w:cstheme="minorHAnsi"/>
          <w:noProof/>
          <w:lang w:eastAsia="fr-FR"/>
        </w:rPr>
        <w:drawing>
          <wp:inline distT="0" distB="0" distL="0" distR="0" wp14:anchorId="13E3F13F" wp14:editId="2AAAB2A3">
            <wp:extent cx="1628775" cy="847725"/>
            <wp:effectExtent l="0" t="0" r="9525" b="9525"/>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847725"/>
                    </a:xfrm>
                    <a:prstGeom prst="rect">
                      <a:avLst/>
                    </a:prstGeom>
                    <a:noFill/>
                    <a:ln>
                      <a:noFill/>
                    </a:ln>
                  </pic:spPr>
                </pic:pic>
              </a:graphicData>
            </a:graphic>
          </wp:inline>
        </w:drawing>
      </w:r>
      <w:r w:rsidR="00921790" w:rsidRPr="000044DB">
        <w:rPr>
          <w:rFonts w:asciiTheme="minorHAnsi" w:hAnsiTheme="minorHAnsi" w:cstheme="minorHAnsi"/>
          <w:noProof/>
          <w:lang w:eastAsia="fr-FR"/>
        </w:rPr>
        <w:tab/>
      </w:r>
      <w:r w:rsidR="00921790" w:rsidRPr="000044DB">
        <w:rPr>
          <w:rFonts w:asciiTheme="minorHAnsi" w:hAnsiTheme="minorHAnsi" w:cstheme="minorHAnsi"/>
          <w:noProof/>
          <w:lang w:eastAsia="fr-FR"/>
        </w:rPr>
        <w:tab/>
      </w:r>
      <w:r w:rsidR="00921790" w:rsidRPr="000044DB">
        <w:rPr>
          <w:rFonts w:asciiTheme="minorHAnsi" w:hAnsiTheme="minorHAnsi" w:cstheme="minorHAnsi"/>
          <w:noProof/>
          <w:lang w:eastAsia="fr-FR"/>
        </w:rPr>
        <w:tab/>
      </w:r>
      <w:r w:rsidR="00921790" w:rsidRPr="000044DB">
        <w:rPr>
          <w:rFonts w:asciiTheme="minorHAnsi" w:hAnsiTheme="minorHAnsi" w:cstheme="minorHAnsi"/>
          <w:noProof/>
          <w:lang w:eastAsia="fr-FR"/>
        </w:rPr>
        <w:tab/>
      </w:r>
      <w:r w:rsidR="00921790" w:rsidRPr="000044DB">
        <w:rPr>
          <w:rFonts w:asciiTheme="minorHAnsi" w:hAnsiTheme="minorHAnsi" w:cstheme="minorHAnsi"/>
          <w:noProof/>
          <w:lang w:eastAsia="fr-FR"/>
        </w:rPr>
        <w:tab/>
      </w:r>
      <w:r w:rsidR="00921790" w:rsidRPr="000044DB">
        <w:rPr>
          <w:rFonts w:asciiTheme="minorHAnsi" w:hAnsiTheme="minorHAnsi" w:cstheme="minorHAnsi"/>
          <w:noProof/>
          <w:lang w:eastAsia="fr-FR"/>
        </w:rPr>
        <w:tab/>
      </w:r>
      <w:r w:rsidR="00921790" w:rsidRPr="000044DB">
        <w:rPr>
          <w:rFonts w:asciiTheme="minorHAnsi" w:hAnsiTheme="minorHAnsi" w:cstheme="minorHAnsi"/>
          <w:noProof/>
          <w:lang w:eastAsia="fr-FR"/>
        </w:rPr>
        <w:tab/>
      </w:r>
      <w:r w:rsidR="00921790" w:rsidRPr="000044DB">
        <w:rPr>
          <w:rFonts w:asciiTheme="minorHAnsi" w:hAnsiTheme="minorHAnsi" w:cstheme="minorHAnsi"/>
          <w:noProof/>
          <w:lang w:eastAsia="fr-FR"/>
        </w:rPr>
        <w:tab/>
      </w:r>
      <w:r w:rsidR="00921790" w:rsidRPr="000044DB">
        <w:rPr>
          <w:rFonts w:asciiTheme="minorHAnsi" w:hAnsiTheme="minorHAnsi" w:cstheme="minorHAnsi"/>
          <w:noProof/>
          <w:lang w:eastAsia="fr-FR"/>
        </w:rPr>
        <w:tab/>
      </w:r>
    </w:p>
    <w:p w:rsidR="00936829" w:rsidRDefault="00936829" w:rsidP="00452A2C">
      <w:pPr>
        <w:pStyle w:val="Paragraphedeliste"/>
        <w:spacing w:before="200"/>
        <w:ind w:left="0"/>
        <w:jc w:val="right"/>
        <w:rPr>
          <w:szCs w:val="21"/>
          <w:shd w:val="clear" w:color="auto" w:fill="FFFFFF"/>
          <w:lang w:val="fr-CH"/>
        </w:rPr>
      </w:pPr>
    </w:p>
    <w:p w:rsidR="00936829" w:rsidRPr="009332E6" w:rsidRDefault="00936829" w:rsidP="00936829">
      <w:pPr>
        <w:spacing w:after="0"/>
        <w:jc w:val="center"/>
        <w:rPr>
          <w:b/>
          <w:sz w:val="28"/>
          <w:szCs w:val="28"/>
          <w:lang w:val="fr-CH"/>
        </w:rPr>
      </w:pPr>
      <w:r w:rsidRPr="009332E6">
        <w:rPr>
          <w:b/>
          <w:sz w:val="28"/>
          <w:szCs w:val="28"/>
          <w:lang w:val="fr-CH"/>
        </w:rPr>
        <w:t xml:space="preserve">Déclaration </w:t>
      </w:r>
      <w:bookmarkStart w:id="0" w:name="_GoBack"/>
      <w:r w:rsidRPr="009332E6">
        <w:rPr>
          <w:b/>
          <w:sz w:val="28"/>
          <w:szCs w:val="28"/>
          <w:lang w:val="fr-CH"/>
        </w:rPr>
        <w:t>« Plaidoyer du BICE pour des solutions durables en faveur des enfants fuyant les conflits et les persécutions »</w:t>
      </w:r>
    </w:p>
    <w:bookmarkEnd w:id="0"/>
    <w:p w:rsidR="009332E6" w:rsidRDefault="009332E6" w:rsidP="00936829">
      <w:pPr>
        <w:spacing w:after="0"/>
        <w:jc w:val="center"/>
        <w:rPr>
          <w:b/>
          <w:sz w:val="24"/>
          <w:szCs w:val="24"/>
          <w:lang w:val="fr-CH"/>
        </w:rPr>
      </w:pPr>
    </w:p>
    <w:p w:rsidR="00936829" w:rsidRPr="000C2C24" w:rsidRDefault="006E57DB" w:rsidP="000C2C24">
      <w:pPr>
        <w:pBdr>
          <w:bottom w:val="single" w:sz="4" w:space="1" w:color="auto"/>
        </w:pBdr>
        <w:spacing w:after="0"/>
        <w:rPr>
          <w:b/>
          <w:sz w:val="24"/>
          <w:szCs w:val="24"/>
          <w:lang w:val="fr-CH"/>
        </w:rPr>
      </w:pPr>
      <w:r>
        <w:rPr>
          <w:b/>
          <w:sz w:val="24"/>
          <w:szCs w:val="24"/>
          <w:lang w:val="fr-CH"/>
        </w:rPr>
        <w:t xml:space="preserve">Organisations </w:t>
      </w:r>
      <w:r w:rsidR="009332E6">
        <w:rPr>
          <w:b/>
          <w:sz w:val="24"/>
          <w:szCs w:val="24"/>
          <w:lang w:val="fr-CH"/>
        </w:rPr>
        <w:t>signataires :</w:t>
      </w:r>
    </w:p>
    <w:p w:rsidR="00936829" w:rsidRPr="000C2972" w:rsidRDefault="00936829" w:rsidP="00936829">
      <w:pPr>
        <w:pStyle w:val="Paragraphedeliste"/>
        <w:numPr>
          <w:ilvl w:val="0"/>
          <w:numId w:val="16"/>
        </w:numPr>
        <w:spacing w:line="360" w:lineRule="auto"/>
        <w:contextualSpacing/>
        <w:rPr>
          <w:b/>
        </w:rPr>
      </w:pPr>
      <w:r w:rsidRPr="000C2972">
        <w:rPr>
          <w:b/>
        </w:rPr>
        <w:t xml:space="preserve">AAWAAJ - La Voz </w:t>
      </w:r>
      <w:r w:rsidRPr="000C2972">
        <w:t>(Katmandou, Népal)</w:t>
      </w:r>
      <w:r w:rsidRPr="000C2972">
        <w:rPr>
          <w:b/>
        </w:rPr>
        <w:t xml:space="preserve"> </w:t>
      </w:r>
    </w:p>
    <w:p w:rsidR="00936829" w:rsidRPr="00A64010" w:rsidRDefault="00936829" w:rsidP="00936829">
      <w:pPr>
        <w:pStyle w:val="Paragraphedeliste"/>
        <w:numPr>
          <w:ilvl w:val="0"/>
          <w:numId w:val="16"/>
        </w:numPr>
        <w:spacing w:line="360" w:lineRule="auto"/>
        <w:contextualSpacing/>
        <w:rPr>
          <w:b/>
        </w:rPr>
      </w:pPr>
      <w:r>
        <w:rPr>
          <w:b/>
        </w:rPr>
        <w:t xml:space="preserve">Aina Trust </w:t>
      </w:r>
      <w:r w:rsidRPr="00412279">
        <w:t>(Bangalore, Inde)</w:t>
      </w:r>
    </w:p>
    <w:p w:rsidR="00936829" w:rsidRDefault="00936829" w:rsidP="00936829">
      <w:pPr>
        <w:pStyle w:val="Paragraphedeliste"/>
        <w:numPr>
          <w:ilvl w:val="0"/>
          <w:numId w:val="16"/>
        </w:numPr>
        <w:spacing w:line="360" w:lineRule="auto"/>
        <w:contextualSpacing/>
      </w:pPr>
      <w:r w:rsidRPr="00BA44E3">
        <w:rPr>
          <w:b/>
        </w:rPr>
        <w:t>Apprentis d’Auteuil</w:t>
      </w:r>
      <w:r w:rsidRPr="00756326">
        <w:t xml:space="preserve"> (Paris, France)</w:t>
      </w:r>
    </w:p>
    <w:p w:rsidR="00936829" w:rsidRDefault="00936829" w:rsidP="00936829">
      <w:pPr>
        <w:pStyle w:val="Paragraphedeliste"/>
        <w:numPr>
          <w:ilvl w:val="0"/>
          <w:numId w:val="16"/>
        </w:numPr>
        <w:spacing w:line="360" w:lineRule="auto"/>
        <w:contextualSpacing/>
      </w:pPr>
      <w:r w:rsidRPr="00562EF8">
        <w:rPr>
          <w:b/>
        </w:rPr>
        <w:t>"Arevamanuk" family and child care fund</w:t>
      </w:r>
      <w:r>
        <w:t xml:space="preserve"> (Gyumri , Armenie)</w:t>
      </w:r>
    </w:p>
    <w:p w:rsidR="00936829" w:rsidRPr="009024C7" w:rsidRDefault="00936829" w:rsidP="00936829">
      <w:pPr>
        <w:pStyle w:val="Paragraphedeliste"/>
        <w:numPr>
          <w:ilvl w:val="0"/>
          <w:numId w:val="16"/>
        </w:numPr>
        <w:spacing w:line="360" w:lineRule="auto"/>
        <w:contextualSpacing/>
      </w:pPr>
      <w:r w:rsidRPr="009024C7">
        <w:rPr>
          <w:b/>
        </w:rPr>
        <w:t>As</w:t>
      </w:r>
      <w:r>
        <w:rPr>
          <w:b/>
        </w:rPr>
        <w:t>s</w:t>
      </w:r>
      <w:r w:rsidRPr="009024C7">
        <w:rPr>
          <w:b/>
        </w:rPr>
        <w:t xml:space="preserve">ociación Callescuela </w:t>
      </w:r>
      <w:r w:rsidRPr="009024C7">
        <w:t>(Asunci</w:t>
      </w:r>
      <w:r>
        <w:t>o</w:t>
      </w:r>
      <w:r w:rsidRPr="009024C7">
        <w:t>n, Paraguay)</w:t>
      </w:r>
    </w:p>
    <w:p w:rsidR="00936829" w:rsidRPr="000C2972" w:rsidRDefault="00936829" w:rsidP="00936829">
      <w:pPr>
        <w:pStyle w:val="Paragraphedeliste"/>
        <w:numPr>
          <w:ilvl w:val="0"/>
          <w:numId w:val="16"/>
        </w:numPr>
        <w:spacing w:line="360" w:lineRule="auto"/>
        <w:contextualSpacing/>
        <w:rPr>
          <w:b/>
        </w:rPr>
      </w:pPr>
      <w:r w:rsidRPr="000C2972">
        <w:rPr>
          <w:b/>
        </w:rPr>
        <w:t xml:space="preserve">Association Nationale des Educateurs Sociaux –ANES </w:t>
      </w:r>
      <w:r w:rsidRPr="000C2972">
        <w:t>(Kinshasa, RDC)</w:t>
      </w:r>
    </w:p>
    <w:p w:rsidR="00936829" w:rsidRPr="00756326" w:rsidRDefault="00936829" w:rsidP="00936829">
      <w:pPr>
        <w:pStyle w:val="Paragraphedeliste"/>
        <w:numPr>
          <w:ilvl w:val="0"/>
          <w:numId w:val="16"/>
        </w:numPr>
        <w:spacing w:line="360" w:lineRule="auto"/>
        <w:contextualSpacing/>
      </w:pPr>
      <w:r w:rsidRPr="00BA44E3">
        <w:rPr>
          <w:b/>
        </w:rPr>
        <w:t>Associazione Vittorino Chizzolini Cooperazione Internazionale</w:t>
      </w:r>
      <w:r w:rsidRPr="00756326">
        <w:t xml:space="preserve"> (Bergame, Italie)</w:t>
      </w:r>
    </w:p>
    <w:p w:rsidR="00936829" w:rsidRPr="00400480" w:rsidRDefault="00936829" w:rsidP="00936829">
      <w:pPr>
        <w:pStyle w:val="Paragraphedeliste"/>
        <w:numPr>
          <w:ilvl w:val="0"/>
          <w:numId w:val="16"/>
        </w:numPr>
        <w:spacing w:line="360" w:lineRule="auto"/>
        <w:contextualSpacing/>
      </w:pPr>
      <w:r w:rsidRPr="00400480">
        <w:rPr>
          <w:b/>
        </w:rPr>
        <w:t xml:space="preserve">Bayard Presse </w:t>
      </w:r>
      <w:r w:rsidRPr="00400480">
        <w:t>(Paris, France)</w:t>
      </w:r>
    </w:p>
    <w:p w:rsidR="00936829" w:rsidRPr="000C2972" w:rsidRDefault="00936829" w:rsidP="00936829">
      <w:pPr>
        <w:pStyle w:val="Paragraphedeliste"/>
        <w:numPr>
          <w:ilvl w:val="0"/>
          <w:numId w:val="16"/>
        </w:numPr>
        <w:spacing w:line="360" w:lineRule="auto"/>
        <w:contextualSpacing/>
      </w:pPr>
      <w:r w:rsidRPr="000C2972">
        <w:rPr>
          <w:b/>
        </w:rPr>
        <w:t>Bureau national catholique de l’enfance – BNCE-RDC</w:t>
      </w:r>
      <w:r w:rsidRPr="000C2972">
        <w:t xml:space="preserve"> (Kinshasa, RDC)</w:t>
      </w:r>
    </w:p>
    <w:p w:rsidR="00936829" w:rsidRDefault="00936829" w:rsidP="00936829">
      <w:pPr>
        <w:pStyle w:val="Paragraphedeliste"/>
        <w:numPr>
          <w:ilvl w:val="0"/>
          <w:numId w:val="16"/>
        </w:numPr>
        <w:spacing w:line="360" w:lineRule="auto"/>
        <w:contextualSpacing/>
      </w:pPr>
      <w:r w:rsidRPr="00BA44E3">
        <w:rPr>
          <w:b/>
        </w:rPr>
        <w:t>I Bambini dell’Africa</w:t>
      </w:r>
      <w:r>
        <w:t xml:space="preserve"> (</w:t>
      </w:r>
      <w:r w:rsidRPr="00756326">
        <w:t>Massafra, Italie)</w:t>
      </w:r>
    </w:p>
    <w:p w:rsidR="00936829" w:rsidRPr="00503507" w:rsidRDefault="00936829" w:rsidP="00936829">
      <w:pPr>
        <w:pStyle w:val="Paragraphedeliste"/>
        <w:numPr>
          <w:ilvl w:val="0"/>
          <w:numId w:val="16"/>
        </w:numPr>
        <w:spacing w:line="360" w:lineRule="auto"/>
        <w:contextualSpacing/>
      </w:pPr>
      <w:r w:rsidRPr="00503507">
        <w:rPr>
          <w:b/>
        </w:rPr>
        <w:t xml:space="preserve">Child Rights Information Center </w:t>
      </w:r>
      <w:r w:rsidRPr="00503507">
        <w:t>(Chisinau, Moldavie)</w:t>
      </w:r>
    </w:p>
    <w:p w:rsidR="00936829" w:rsidRPr="000C2972" w:rsidRDefault="00936829" w:rsidP="00936829">
      <w:pPr>
        <w:pStyle w:val="Paragraphedeliste"/>
        <w:numPr>
          <w:ilvl w:val="0"/>
          <w:numId w:val="16"/>
        </w:numPr>
        <w:spacing w:after="120" w:line="240" w:lineRule="auto"/>
        <w:ind w:left="714" w:hanging="357"/>
        <w:rPr>
          <w:b/>
        </w:rPr>
      </w:pPr>
      <w:r w:rsidRPr="000C2972">
        <w:rPr>
          <w:b/>
        </w:rPr>
        <w:t xml:space="preserve">Commission pour les enfants et adolescents à risque de l’archevêché de Buenos Aires - CADENYA </w:t>
      </w:r>
      <w:r w:rsidRPr="000C2972">
        <w:t>(Buenos Aires, Argentine)</w:t>
      </w:r>
    </w:p>
    <w:p w:rsidR="00936829" w:rsidRDefault="00936829" w:rsidP="00936829">
      <w:pPr>
        <w:pStyle w:val="Paragraphedeliste"/>
        <w:numPr>
          <w:ilvl w:val="0"/>
          <w:numId w:val="16"/>
        </w:numPr>
        <w:spacing w:after="120" w:line="240" w:lineRule="auto"/>
        <w:ind w:left="714" w:hanging="357"/>
      </w:pPr>
      <w:r w:rsidRPr="002D51CB">
        <w:rPr>
          <w:b/>
        </w:rPr>
        <w:t xml:space="preserve">Congregación de las Hermanas de San José de Cuneo </w:t>
      </w:r>
      <w:r w:rsidRPr="002D51CB">
        <w:t>(Puerto Piray, Argentine)</w:t>
      </w:r>
    </w:p>
    <w:p w:rsidR="000C2C24" w:rsidRPr="000C2C24" w:rsidRDefault="000C2C24" w:rsidP="000C2C24">
      <w:pPr>
        <w:pStyle w:val="Paragraphedeliste"/>
        <w:numPr>
          <w:ilvl w:val="0"/>
          <w:numId w:val="16"/>
        </w:numPr>
        <w:rPr>
          <w:b/>
          <w:bCs/>
          <w:lang w:val="fr-CH"/>
        </w:rPr>
      </w:pPr>
      <w:r w:rsidRPr="000C2C24">
        <w:rPr>
          <w:b/>
          <w:bCs/>
          <w:lang w:val="fr-CH"/>
        </w:rPr>
        <w:t>Crèche Bethleem (</w:t>
      </w:r>
      <w:r w:rsidRPr="000C2C24">
        <w:rPr>
          <w:bCs/>
          <w:lang w:val="fr-CH"/>
        </w:rPr>
        <w:t>Port Louis, Ile Maurice</w:t>
      </w:r>
      <w:r w:rsidRPr="000C2C24">
        <w:rPr>
          <w:b/>
          <w:bCs/>
          <w:lang w:val="fr-CH"/>
        </w:rPr>
        <w:t>)</w:t>
      </w:r>
    </w:p>
    <w:p w:rsidR="00936829" w:rsidRPr="000C2972" w:rsidRDefault="00936829" w:rsidP="00936829">
      <w:pPr>
        <w:pStyle w:val="Paragraphedeliste"/>
        <w:numPr>
          <w:ilvl w:val="0"/>
          <w:numId w:val="16"/>
        </w:numPr>
        <w:spacing w:after="120" w:line="240" w:lineRule="auto"/>
        <w:ind w:left="714" w:hanging="357"/>
        <w:rPr>
          <w:b/>
        </w:rPr>
      </w:pPr>
      <w:r w:rsidRPr="000C2972">
        <w:rPr>
          <w:b/>
        </w:rPr>
        <w:t>De La Salle Solidarietà Internazionale – ONLUS</w:t>
      </w:r>
      <w:r w:rsidRPr="000C2972">
        <w:rPr>
          <w:rFonts w:ascii="Tahoma" w:hAnsi="Tahoma" w:cs="Tahoma"/>
        </w:rPr>
        <w:t xml:space="preserve"> </w:t>
      </w:r>
      <w:r w:rsidRPr="000C2972">
        <w:t>(Rome, Italie)</w:t>
      </w:r>
    </w:p>
    <w:p w:rsidR="00936829" w:rsidRPr="000C2972" w:rsidRDefault="00936829" w:rsidP="00936829">
      <w:pPr>
        <w:pStyle w:val="Paragraphedeliste"/>
        <w:numPr>
          <w:ilvl w:val="0"/>
          <w:numId w:val="16"/>
        </w:numPr>
        <w:spacing w:after="120" w:line="240" w:lineRule="auto"/>
        <w:ind w:left="714" w:hanging="357"/>
        <w:rPr>
          <w:b/>
        </w:rPr>
      </w:pPr>
      <w:r w:rsidRPr="000C2972">
        <w:rPr>
          <w:b/>
        </w:rPr>
        <w:t xml:space="preserve">Dignité et Droits pour les Enfants en Côte d’Ivoire– DDE-CI </w:t>
      </w:r>
      <w:r w:rsidRPr="000C2972">
        <w:t>(Abidjan, Côte d’Ivoire)</w:t>
      </w:r>
    </w:p>
    <w:p w:rsidR="00936829" w:rsidRDefault="00936829" w:rsidP="00936829">
      <w:pPr>
        <w:pStyle w:val="Paragraphedeliste"/>
        <w:numPr>
          <w:ilvl w:val="0"/>
          <w:numId w:val="16"/>
        </w:numPr>
        <w:spacing w:after="120" w:line="240" w:lineRule="auto"/>
        <w:ind w:left="714" w:hanging="357"/>
        <w:rPr>
          <w:b/>
        </w:rPr>
      </w:pPr>
      <w:r w:rsidRPr="00503507">
        <w:rPr>
          <w:b/>
        </w:rPr>
        <w:t>Dominicans for Justice and Peace</w:t>
      </w:r>
      <w:r>
        <w:rPr>
          <w:b/>
        </w:rPr>
        <w:t xml:space="preserve"> – Ordre des Prêcheurs</w:t>
      </w:r>
      <w:r>
        <w:t xml:space="preserve"> (Rome, Italie)</w:t>
      </w:r>
    </w:p>
    <w:p w:rsidR="00936829" w:rsidRPr="000C2972" w:rsidRDefault="00936829" w:rsidP="00936829">
      <w:pPr>
        <w:pStyle w:val="Paragraphedeliste"/>
        <w:numPr>
          <w:ilvl w:val="0"/>
          <w:numId w:val="16"/>
        </w:numPr>
        <w:spacing w:line="360" w:lineRule="auto"/>
        <w:contextualSpacing/>
      </w:pPr>
      <w:r w:rsidRPr="000C2972">
        <w:rPr>
          <w:b/>
        </w:rPr>
        <w:t>Foi et Lumière International</w:t>
      </w:r>
      <w:r w:rsidRPr="000C2972">
        <w:t xml:space="preserve"> (Paris, France)</w:t>
      </w:r>
    </w:p>
    <w:p w:rsidR="00936829" w:rsidRPr="000C2972" w:rsidRDefault="00936829" w:rsidP="00936829">
      <w:pPr>
        <w:pStyle w:val="Paragraphedeliste"/>
        <w:numPr>
          <w:ilvl w:val="0"/>
          <w:numId w:val="16"/>
        </w:numPr>
        <w:spacing w:line="360" w:lineRule="auto"/>
        <w:contextualSpacing/>
      </w:pPr>
      <w:r w:rsidRPr="000C2972">
        <w:rPr>
          <w:b/>
        </w:rPr>
        <w:t>Fondation Emmanuel</w:t>
      </w:r>
      <w:r w:rsidRPr="000C2972">
        <w:t xml:space="preserve"> (Buenos Aires, Argentine)</w:t>
      </w:r>
    </w:p>
    <w:p w:rsidR="00936829" w:rsidRPr="000C2972" w:rsidRDefault="00936829" w:rsidP="00936829">
      <w:pPr>
        <w:pStyle w:val="Paragraphedeliste"/>
        <w:numPr>
          <w:ilvl w:val="0"/>
          <w:numId w:val="16"/>
        </w:numPr>
        <w:spacing w:after="120" w:line="240" w:lineRule="auto"/>
        <w:rPr>
          <w:b/>
        </w:rPr>
      </w:pPr>
      <w:r w:rsidRPr="000C2972">
        <w:rPr>
          <w:b/>
        </w:rPr>
        <w:t xml:space="preserve">Fondazione Marista per la Solidarietà Internazionale ONLUS – FMSI </w:t>
      </w:r>
      <w:r w:rsidRPr="000C2972">
        <w:t xml:space="preserve">(Rome, Italie) </w:t>
      </w:r>
    </w:p>
    <w:p w:rsidR="00936829" w:rsidRPr="000C2972" w:rsidRDefault="00936829" w:rsidP="00936829">
      <w:pPr>
        <w:pStyle w:val="Paragraphedeliste"/>
        <w:numPr>
          <w:ilvl w:val="0"/>
          <w:numId w:val="16"/>
        </w:numPr>
        <w:spacing w:after="120" w:line="240" w:lineRule="auto"/>
        <w:rPr>
          <w:b/>
        </w:rPr>
      </w:pPr>
      <w:r w:rsidRPr="000C2972">
        <w:rPr>
          <w:b/>
        </w:rPr>
        <w:t xml:space="preserve">Fraternité Mariste « Cœur Sans Frontières RD Congo » </w:t>
      </w:r>
      <w:r w:rsidRPr="000C2972">
        <w:t>(Goma, RDC)</w:t>
      </w:r>
    </w:p>
    <w:p w:rsidR="00936829" w:rsidRPr="000C2972" w:rsidRDefault="00936829" w:rsidP="00936829">
      <w:pPr>
        <w:pStyle w:val="Paragraphedeliste"/>
        <w:numPr>
          <w:ilvl w:val="0"/>
          <w:numId w:val="16"/>
        </w:numPr>
        <w:spacing w:after="120" w:line="240" w:lineRule="auto"/>
      </w:pPr>
      <w:r w:rsidRPr="000C2972">
        <w:rPr>
          <w:b/>
        </w:rPr>
        <w:t xml:space="preserve">Groupe des Hommes Voués au Développement Intercommunautaire – GHOVODI </w:t>
      </w:r>
      <w:r w:rsidRPr="000C2972">
        <w:t>(Goma, RDC)</w:t>
      </w:r>
    </w:p>
    <w:p w:rsidR="00936829" w:rsidRPr="000C2972" w:rsidRDefault="00936829" w:rsidP="00936829">
      <w:pPr>
        <w:pStyle w:val="Paragraphedeliste"/>
        <w:numPr>
          <w:ilvl w:val="0"/>
          <w:numId w:val="16"/>
        </w:numPr>
        <w:spacing w:after="120" w:line="240" w:lineRule="auto"/>
        <w:rPr>
          <w:b/>
        </w:rPr>
      </w:pPr>
      <w:r w:rsidRPr="000C2972">
        <w:rPr>
          <w:b/>
        </w:rPr>
        <w:t xml:space="preserve">Institut des Frères des Écoles Chrétiennes </w:t>
      </w:r>
      <w:r w:rsidRPr="000C2972">
        <w:t>(Rome, Italie)</w:t>
      </w:r>
    </w:p>
    <w:p w:rsidR="00936829" w:rsidRPr="000C2972" w:rsidRDefault="00936829" w:rsidP="00936829">
      <w:pPr>
        <w:pStyle w:val="Paragraphedeliste"/>
        <w:numPr>
          <w:ilvl w:val="0"/>
          <w:numId w:val="16"/>
        </w:numPr>
        <w:spacing w:after="120" w:line="240" w:lineRule="auto"/>
        <w:rPr>
          <w:b/>
        </w:rPr>
      </w:pPr>
      <w:r w:rsidRPr="000C2972">
        <w:rPr>
          <w:b/>
        </w:rPr>
        <w:t>Institut Pedro Poveda</w:t>
      </w:r>
      <w:r w:rsidRPr="000C2972">
        <w:t xml:space="preserve"> (Buenos Aires, Argentine)</w:t>
      </w:r>
    </w:p>
    <w:p w:rsidR="00936829" w:rsidRPr="003D424F" w:rsidRDefault="00936829" w:rsidP="00936829">
      <w:pPr>
        <w:pStyle w:val="Paragraphedeliste"/>
        <w:numPr>
          <w:ilvl w:val="0"/>
          <w:numId w:val="16"/>
        </w:numPr>
        <w:spacing w:after="120" w:line="240" w:lineRule="auto"/>
        <w:rPr>
          <w:b/>
        </w:rPr>
      </w:pPr>
      <w:r w:rsidRPr="00350582">
        <w:rPr>
          <w:b/>
        </w:rPr>
        <w:t>Institution Thérésienne</w:t>
      </w:r>
      <w:r>
        <w:rPr>
          <w:b/>
        </w:rPr>
        <w:t xml:space="preserve"> </w:t>
      </w:r>
      <w:r w:rsidRPr="00350582">
        <w:t>(Rome, Italie)</w:t>
      </w:r>
    </w:p>
    <w:p w:rsidR="00936829" w:rsidRPr="00C66DD0" w:rsidRDefault="00936829" w:rsidP="00936829">
      <w:pPr>
        <w:pStyle w:val="Paragraphedeliste"/>
        <w:numPr>
          <w:ilvl w:val="0"/>
          <w:numId w:val="16"/>
        </w:numPr>
        <w:shd w:val="clear" w:color="auto" w:fill="FFFFFF"/>
        <w:spacing w:line="360" w:lineRule="auto"/>
        <w:contextualSpacing/>
        <w:rPr>
          <w:b/>
        </w:rPr>
      </w:pPr>
      <w:r w:rsidRPr="00C66DD0">
        <w:rPr>
          <w:b/>
        </w:rPr>
        <w:t>Grandissons Ensemble</w:t>
      </w:r>
      <w:r>
        <w:rPr>
          <w:b/>
        </w:rPr>
        <w:t xml:space="preserve"> </w:t>
      </w:r>
      <w:r w:rsidRPr="00C66DD0">
        <w:t>(Lubumbashi, RDC)</w:t>
      </w:r>
    </w:p>
    <w:p w:rsidR="00936829" w:rsidRDefault="00936829" w:rsidP="00936829">
      <w:pPr>
        <w:pStyle w:val="Paragraphedeliste"/>
        <w:numPr>
          <w:ilvl w:val="0"/>
          <w:numId w:val="16"/>
        </w:numPr>
        <w:shd w:val="clear" w:color="auto" w:fill="FFFFFF"/>
        <w:spacing w:line="360" w:lineRule="auto"/>
        <w:contextualSpacing/>
      </w:pPr>
      <w:r w:rsidRPr="00BA44E3">
        <w:rPr>
          <w:b/>
        </w:rPr>
        <w:t>Groupe Jérémie</w:t>
      </w:r>
      <w:r w:rsidRPr="00756326">
        <w:t xml:space="preserve"> (Bukavu, RDC)</w:t>
      </w:r>
    </w:p>
    <w:p w:rsidR="00936829" w:rsidRPr="000C2972" w:rsidRDefault="00936829" w:rsidP="00936829">
      <w:pPr>
        <w:pStyle w:val="Paragraphedeliste"/>
        <w:numPr>
          <w:ilvl w:val="0"/>
          <w:numId w:val="16"/>
        </w:numPr>
        <w:shd w:val="clear" w:color="auto" w:fill="FFFFFF"/>
        <w:spacing w:after="120" w:line="240" w:lineRule="auto"/>
        <w:rPr>
          <w:b/>
        </w:rPr>
      </w:pPr>
      <w:r w:rsidRPr="000C2972">
        <w:rPr>
          <w:b/>
        </w:rPr>
        <w:lastRenderedPageBreak/>
        <w:t xml:space="preserve">Instituto de Formación de Educadores de Jóvenes, Adolescentes y Niños Trabajadores de América Latina – IFEJANT </w:t>
      </w:r>
      <w:r w:rsidRPr="000C2972">
        <w:t>(Lima, Pérou)</w:t>
      </w:r>
    </w:p>
    <w:p w:rsidR="00936829" w:rsidRPr="00F47798" w:rsidRDefault="00936829" w:rsidP="00936829">
      <w:pPr>
        <w:pStyle w:val="Paragraphedeliste"/>
        <w:numPr>
          <w:ilvl w:val="0"/>
          <w:numId w:val="16"/>
        </w:numPr>
        <w:shd w:val="clear" w:color="auto" w:fill="FFFFFF"/>
        <w:spacing w:after="120" w:line="240" w:lineRule="auto"/>
        <w:rPr>
          <w:b/>
        </w:rPr>
      </w:pPr>
      <w:r w:rsidRPr="00EB43EE">
        <w:rPr>
          <w:b/>
        </w:rPr>
        <w:t>Juve</w:t>
      </w:r>
      <w:r>
        <w:rPr>
          <w:b/>
        </w:rPr>
        <w:t xml:space="preserve">ntud para Cristo en el Uruguay </w:t>
      </w:r>
      <w:r w:rsidRPr="00503507">
        <w:rPr>
          <w:b/>
        </w:rPr>
        <w:t>–</w:t>
      </w:r>
      <w:r>
        <w:rPr>
          <w:b/>
        </w:rPr>
        <w:t xml:space="preserve"> JPC </w:t>
      </w:r>
      <w:r w:rsidRPr="00EB43EE">
        <w:t>(Montevideo, Uruguay)</w:t>
      </w:r>
    </w:p>
    <w:p w:rsidR="00936829" w:rsidRDefault="00936829" w:rsidP="00936829">
      <w:pPr>
        <w:pStyle w:val="Paragraphedeliste"/>
        <w:numPr>
          <w:ilvl w:val="0"/>
          <w:numId w:val="16"/>
        </w:numPr>
        <w:shd w:val="clear" w:color="auto" w:fill="FFFFFF"/>
        <w:spacing w:line="240" w:lineRule="auto"/>
        <w:ind w:left="714" w:hanging="357"/>
      </w:pPr>
      <w:r w:rsidRPr="000C2972">
        <w:rPr>
          <w:b/>
        </w:rPr>
        <w:t xml:space="preserve">Oficina de Derechos Humanos del Arzobispado de Guatemala – </w:t>
      </w:r>
      <w:r w:rsidRPr="000C2972">
        <w:t>ODHAG (Ciudad de Guatemala, Guatemala)</w:t>
      </w:r>
    </w:p>
    <w:p w:rsidR="00936829" w:rsidRPr="000C2972" w:rsidRDefault="00936829" w:rsidP="00936829">
      <w:pPr>
        <w:pStyle w:val="Paragraphedeliste"/>
        <w:numPr>
          <w:ilvl w:val="0"/>
          <w:numId w:val="16"/>
        </w:numPr>
        <w:shd w:val="clear" w:color="auto" w:fill="FFFFFF"/>
        <w:spacing w:line="240" w:lineRule="auto"/>
        <w:ind w:left="714" w:hanging="357"/>
      </w:pPr>
      <w:r>
        <w:rPr>
          <w:b/>
        </w:rPr>
        <w:t xml:space="preserve">Oeuvre d’Orient </w:t>
      </w:r>
      <w:r w:rsidRPr="000C2972">
        <w:t>(Paris, France)</w:t>
      </w:r>
    </w:p>
    <w:p w:rsidR="00936829" w:rsidRPr="000C2972" w:rsidRDefault="00936829" w:rsidP="00936829">
      <w:pPr>
        <w:pStyle w:val="Paragraphedeliste"/>
        <w:numPr>
          <w:ilvl w:val="0"/>
          <w:numId w:val="16"/>
        </w:numPr>
        <w:shd w:val="clear" w:color="auto" w:fill="FFFFFF"/>
        <w:spacing w:line="360" w:lineRule="auto"/>
        <w:contextualSpacing/>
      </w:pPr>
      <w:r w:rsidRPr="000C2972">
        <w:rPr>
          <w:b/>
        </w:rPr>
        <w:t>Opérations Enfants du Cambodge</w:t>
      </w:r>
      <w:r w:rsidRPr="000C2972">
        <w:t xml:space="preserve"> (Battambang, Cambodge)</w:t>
      </w:r>
    </w:p>
    <w:p w:rsidR="00936829" w:rsidRDefault="00936829" w:rsidP="00936829">
      <w:pPr>
        <w:pStyle w:val="Paragraphedeliste"/>
        <w:numPr>
          <w:ilvl w:val="0"/>
          <w:numId w:val="16"/>
        </w:numPr>
        <w:shd w:val="clear" w:color="auto" w:fill="FFFFFF"/>
        <w:spacing w:line="360" w:lineRule="auto"/>
        <w:contextualSpacing/>
      </w:pPr>
      <w:r w:rsidRPr="00F47798">
        <w:rPr>
          <w:b/>
        </w:rPr>
        <w:t>Pastoral do Menor</w:t>
      </w:r>
      <w:r w:rsidRPr="00F47798">
        <w:t xml:space="preserve"> (Belo Horizonte, Brésil)</w:t>
      </w:r>
    </w:p>
    <w:p w:rsidR="00936829" w:rsidRPr="000C2972" w:rsidRDefault="00936829" w:rsidP="00936829">
      <w:pPr>
        <w:pStyle w:val="Paragraphedeliste"/>
        <w:numPr>
          <w:ilvl w:val="0"/>
          <w:numId w:val="16"/>
        </w:numPr>
        <w:shd w:val="clear" w:color="auto" w:fill="FFFFFF"/>
        <w:spacing w:line="360" w:lineRule="auto"/>
        <w:contextualSpacing/>
      </w:pPr>
      <w:r w:rsidRPr="000C2972">
        <w:rPr>
          <w:b/>
        </w:rPr>
        <w:t>Pastoral da Criança Internacional – Pastoral de la Niñez</w:t>
      </w:r>
      <w:r>
        <w:rPr>
          <w:rFonts w:ascii="Arial Narrow" w:hAnsi="Arial Narrow" w:cs="HelveticaNeue-BoldCond"/>
          <w:bCs/>
          <w:sz w:val="26"/>
          <w:szCs w:val="26"/>
          <w:lang w:val="pt-BR"/>
        </w:rPr>
        <w:t xml:space="preserve"> </w:t>
      </w:r>
      <w:r w:rsidRPr="000C2972">
        <w:t>(Curitiba, Brésil)</w:t>
      </w:r>
    </w:p>
    <w:p w:rsidR="00936829" w:rsidRDefault="00936829" w:rsidP="00936829">
      <w:pPr>
        <w:pStyle w:val="Paragraphedeliste"/>
        <w:numPr>
          <w:ilvl w:val="0"/>
          <w:numId w:val="16"/>
        </w:numPr>
        <w:spacing w:line="360" w:lineRule="auto"/>
        <w:contextualSpacing/>
      </w:pPr>
      <w:r w:rsidRPr="00BA44E3">
        <w:rPr>
          <w:b/>
        </w:rPr>
        <w:t>The Public Health Foundation of Georgia</w:t>
      </w:r>
      <w:r>
        <w:t xml:space="preserve"> (Tbilissi, Géorgie)</w:t>
      </w:r>
    </w:p>
    <w:p w:rsidR="00936829" w:rsidRPr="000C2972" w:rsidRDefault="00936829" w:rsidP="00936829">
      <w:pPr>
        <w:pStyle w:val="Paragraphedeliste"/>
        <w:numPr>
          <w:ilvl w:val="0"/>
          <w:numId w:val="16"/>
        </w:numPr>
        <w:spacing w:line="360" w:lineRule="auto"/>
        <w:contextualSpacing/>
        <w:rPr>
          <w:b/>
        </w:rPr>
      </w:pPr>
      <w:r w:rsidRPr="000C2972">
        <w:rPr>
          <w:b/>
        </w:rPr>
        <w:t xml:space="preserve">Ufficju Centrali Ejjew Ghandi </w:t>
      </w:r>
      <w:r w:rsidRPr="000C2972">
        <w:t>(La Vallette, Malte)</w:t>
      </w:r>
    </w:p>
    <w:p w:rsidR="00936829" w:rsidRPr="003D424F" w:rsidRDefault="00936829" w:rsidP="00936829">
      <w:pPr>
        <w:pStyle w:val="Paragraphedeliste"/>
        <w:numPr>
          <w:ilvl w:val="0"/>
          <w:numId w:val="16"/>
        </w:numPr>
        <w:spacing w:line="360" w:lineRule="auto"/>
        <w:contextualSpacing/>
        <w:rPr>
          <w:b/>
        </w:rPr>
      </w:pPr>
      <w:r w:rsidRPr="00503507">
        <w:rPr>
          <w:b/>
        </w:rPr>
        <w:t>Università Cattolica del Sacro Cuore</w:t>
      </w:r>
      <w:r>
        <w:rPr>
          <w:b/>
        </w:rPr>
        <w:t xml:space="preserve"> </w:t>
      </w:r>
      <w:r w:rsidRPr="00503507">
        <w:t>(Milan, Italie)</w:t>
      </w:r>
    </w:p>
    <w:p w:rsidR="00936829" w:rsidRPr="000C2972" w:rsidRDefault="00936829" w:rsidP="00936829">
      <w:pPr>
        <w:pStyle w:val="Paragraphedeliste"/>
        <w:numPr>
          <w:ilvl w:val="0"/>
          <w:numId w:val="16"/>
        </w:numPr>
        <w:spacing w:after="0" w:line="240" w:lineRule="auto"/>
        <w:ind w:left="714" w:hanging="357"/>
        <w:rPr>
          <w:b/>
        </w:rPr>
      </w:pPr>
      <w:r w:rsidRPr="000C2972">
        <w:rPr>
          <w:b/>
        </w:rPr>
        <w:t>Vicaría de Pastoral Social y de los Trabajadores del Arzobispado de Santiago de Chile</w:t>
      </w:r>
      <w:r>
        <w:rPr>
          <w:rFonts w:ascii="Arial Narrow" w:hAnsi="Arial Narrow" w:cs="HelveticaNeue-BoldCond"/>
          <w:bCs/>
          <w:sz w:val="26"/>
          <w:szCs w:val="26"/>
          <w:lang w:val="es-ES"/>
        </w:rPr>
        <w:t xml:space="preserve"> (</w:t>
      </w:r>
      <w:r w:rsidRPr="000C2972">
        <w:t>Santiago, Chili)</w:t>
      </w:r>
    </w:p>
    <w:p w:rsidR="00936829" w:rsidRPr="000C2972" w:rsidRDefault="00936829" w:rsidP="00936829">
      <w:pPr>
        <w:pStyle w:val="Paragraphedeliste"/>
        <w:spacing w:line="360" w:lineRule="auto"/>
      </w:pPr>
    </w:p>
    <w:p w:rsidR="009332E6" w:rsidRPr="00DC2024" w:rsidRDefault="009332E6" w:rsidP="009332E6">
      <w:pPr>
        <w:pBdr>
          <w:bottom w:val="single" w:sz="4" w:space="1" w:color="auto"/>
        </w:pBdr>
        <w:rPr>
          <w:b/>
          <w:sz w:val="24"/>
          <w:szCs w:val="24"/>
          <w:lang w:val="fr-CH"/>
        </w:rPr>
      </w:pPr>
      <w:r w:rsidRPr="00DC2024">
        <w:rPr>
          <w:b/>
          <w:sz w:val="24"/>
          <w:szCs w:val="24"/>
          <w:lang w:val="fr-CH"/>
        </w:rPr>
        <w:t>Déclaration</w:t>
      </w:r>
    </w:p>
    <w:p w:rsidR="00936829" w:rsidRDefault="00936829" w:rsidP="009332E6">
      <w:pPr>
        <w:pStyle w:val="Paragraphedeliste"/>
        <w:spacing w:before="200"/>
        <w:ind w:left="0"/>
        <w:rPr>
          <w:szCs w:val="21"/>
          <w:shd w:val="clear" w:color="auto" w:fill="FFFFFF"/>
          <w:lang w:val="fr-CH"/>
        </w:rPr>
      </w:pPr>
    </w:p>
    <w:p w:rsidR="00452A2C" w:rsidRPr="00452A2C" w:rsidRDefault="00452A2C" w:rsidP="00452A2C">
      <w:pPr>
        <w:pStyle w:val="Paragraphedeliste"/>
        <w:spacing w:before="200"/>
        <w:ind w:left="0"/>
        <w:jc w:val="right"/>
        <w:rPr>
          <w:szCs w:val="21"/>
          <w:lang w:val="fr-CH"/>
        </w:rPr>
      </w:pPr>
      <w:r w:rsidRPr="00E05FF4">
        <w:rPr>
          <w:szCs w:val="21"/>
          <w:shd w:val="clear" w:color="auto" w:fill="FFFFFF"/>
          <w:lang w:val="fr-CH"/>
        </w:rPr>
        <w:t xml:space="preserve">Genève - Paris, </w:t>
      </w:r>
      <w:r>
        <w:rPr>
          <w:szCs w:val="21"/>
          <w:shd w:val="clear" w:color="auto" w:fill="FFFFFF"/>
          <w:lang w:val="fr-CH"/>
        </w:rPr>
        <w:t>novembre</w:t>
      </w:r>
      <w:r w:rsidRPr="00E05FF4">
        <w:rPr>
          <w:szCs w:val="21"/>
          <w:shd w:val="clear" w:color="auto" w:fill="FFFFFF"/>
          <w:lang w:val="fr-CH"/>
        </w:rPr>
        <w:t xml:space="preserve"> 2015</w:t>
      </w:r>
    </w:p>
    <w:p w:rsidR="00452A2C" w:rsidRPr="00DC2024" w:rsidRDefault="00452A2C" w:rsidP="00452A2C">
      <w:pPr>
        <w:spacing w:after="0"/>
        <w:jc w:val="center"/>
        <w:rPr>
          <w:b/>
          <w:sz w:val="24"/>
          <w:szCs w:val="24"/>
          <w:lang w:val="fr-CH"/>
        </w:rPr>
      </w:pPr>
      <w:r w:rsidRPr="00DC2024">
        <w:rPr>
          <w:b/>
          <w:sz w:val="24"/>
          <w:szCs w:val="24"/>
          <w:lang w:val="fr-CH"/>
        </w:rPr>
        <w:t>Plaidoyer du BICE pour des solutions durables en faveur des</w:t>
      </w:r>
    </w:p>
    <w:p w:rsidR="00452A2C" w:rsidRPr="00DC2024" w:rsidRDefault="00452A2C" w:rsidP="00452A2C">
      <w:pPr>
        <w:spacing w:after="300"/>
        <w:jc w:val="center"/>
        <w:rPr>
          <w:b/>
          <w:sz w:val="24"/>
          <w:szCs w:val="24"/>
          <w:lang w:val="fr-CH"/>
        </w:rPr>
      </w:pPr>
      <w:r w:rsidRPr="00DC2024">
        <w:rPr>
          <w:b/>
          <w:sz w:val="24"/>
          <w:szCs w:val="24"/>
          <w:lang w:val="fr-CH"/>
        </w:rPr>
        <w:t>enfants fuyant les conflits et les persécutions</w:t>
      </w:r>
    </w:p>
    <w:p w:rsidR="00452A2C" w:rsidRPr="006E5BCF" w:rsidRDefault="00452A2C" w:rsidP="00452A2C">
      <w:pPr>
        <w:spacing w:after="100"/>
        <w:rPr>
          <w:i/>
          <w:lang w:val="fr-CH"/>
        </w:rPr>
      </w:pPr>
      <w:r w:rsidRPr="006E5BCF">
        <w:rPr>
          <w:i/>
          <w:lang w:val="fr-CH"/>
        </w:rPr>
        <w:t>Le mouvement des personnes est un phénomène global et historique qui devrait être traité selon une approc</w:t>
      </w:r>
      <w:r>
        <w:rPr>
          <w:i/>
          <w:lang w:val="fr-CH"/>
        </w:rPr>
        <w:t xml:space="preserve">he fondée sur le </w:t>
      </w:r>
      <w:r w:rsidRPr="006E5BCF">
        <w:rPr>
          <w:i/>
          <w:lang w:val="fr-CH"/>
        </w:rPr>
        <w:t>droit, en l’occurrence le droit des personnes à la recherche d’un refuge. Considérant qu’entre janvier et août 2015, plus de 533.824</w:t>
      </w:r>
      <w:r w:rsidRPr="006E5BCF">
        <w:rPr>
          <w:rStyle w:val="Appeldenotedefin"/>
          <w:i/>
          <w:szCs w:val="21"/>
          <w:lang w:val="fr-CH"/>
        </w:rPr>
        <w:endnoteReference w:id="1"/>
      </w:r>
      <w:r w:rsidRPr="006E5BCF">
        <w:rPr>
          <w:i/>
          <w:lang w:val="fr-CH"/>
        </w:rPr>
        <w:t xml:space="preserve"> personnes persécutées et fuyant les conflits ont afflué vers l’Europe essentiellement par des traversées périlleuses à travers la mer Méditerranée et la mer Egée et que plus de 2.980 personnes, y compris des enfants, ont péri, des solutions durables s’imposent. </w:t>
      </w:r>
    </w:p>
    <w:p w:rsidR="00452A2C" w:rsidRPr="006E5BCF" w:rsidRDefault="00452A2C" w:rsidP="00452A2C">
      <w:pPr>
        <w:spacing w:after="100"/>
        <w:rPr>
          <w:i/>
          <w:lang w:val="fr-CH"/>
        </w:rPr>
      </w:pPr>
      <w:r w:rsidRPr="006E5BCF">
        <w:rPr>
          <w:i/>
          <w:lang w:val="fr-CH"/>
        </w:rPr>
        <w:t>En effet, en dépit des initiatives récemment adoptées</w:t>
      </w:r>
      <w:r w:rsidRPr="006E5BCF">
        <w:rPr>
          <w:rStyle w:val="Appeldenotedefin"/>
          <w:i/>
          <w:szCs w:val="21"/>
          <w:lang w:val="fr-CH"/>
        </w:rPr>
        <w:endnoteReference w:id="2"/>
      </w:r>
      <w:r w:rsidRPr="006E5BCF">
        <w:rPr>
          <w:i/>
          <w:lang w:val="fr-CH"/>
        </w:rPr>
        <w:t>, le Bureau International Catholique de l’Enfance (BICE) et les organisations membres de son réseau co-signataires de la présente déclaration</w:t>
      </w:r>
      <w:r w:rsidRPr="006E5BCF">
        <w:rPr>
          <w:rStyle w:val="Appeldenotedefin"/>
          <w:i/>
          <w:szCs w:val="21"/>
          <w:lang w:val="fr-CH"/>
        </w:rPr>
        <w:endnoteReference w:id="3"/>
      </w:r>
      <w:r w:rsidRPr="006E5BCF">
        <w:rPr>
          <w:i/>
          <w:lang w:val="fr-CH"/>
        </w:rPr>
        <w:t xml:space="preserve"> restent préoccupés par le traitement réservé par l’Union européenne et ses Etats membres aux milliers d’hommes, de femmes et d’enfants qui sont contraints de fuir les conflits et la persécution vers l’Europe à la recherche d’une protection internationale</w:t>
      </w:r>
      <w:r w:rsidRPr="006E5BCF">
        <w:rPr>
          <w:rStyle w:val="Appeldenotedefin"/>
          <w:i/>
          <w:szCs w:val="21"/>
          <w:lang w:val="fr-CH"/>
        </w:rPr>
        <w:endnoteReference w:id="4"/>
      </w:r>
      <w:r w:rsidRPr="006E5BCF">
        <w:rPr>
          <w:i/>
          <w:lang w:val="fr-CH"/>
        </w:rPr>
        <w:t>. Le déracinement physique, émotionnel et psychologique subi fragilise ces personnes en mouvement, provoquant des traumatismes notamment psychiques qui mettent à la charge des Etats de transit et de destination un impératif de protection et de soins qui ne peut être affecté par leur statut migratoire, surtout lorsqu’il s’agit d’enfants et d’adolescents, accompagnés ou non</w:t>
      </w:r>
      <w:r w:rsidRPr="006E5BCF">
        <w:rPr>
          <w:rStyle w:val="Appeldenotedefin"/>
          <w:i/>
          <w:szCs w:val="21"/>
          <w:lang w:val="fr-CH"/>
        </w:rPr>
        <w:endnoteReference w:id="5"/>
      </w:r>
      <w:r w:rsidRPr="006E5BCF">
        <w:rPr>
          <w:i/>
          <w:lang w:val="fr-CH"/>
        </w:rPr>
        <w:t xml:space="preserve">. </w:t>
      </w:r>
    </w:p>
    <w:p w:rsidR="00452A2C" w:rsidRPr="00DC2024" w:rsidRDefault="00452A2C" w:rsidP="00452A2C">
      <w:pPr>
        <w:pStyle w:val="Paragraphedeliste"/>
        <w:spacing w:before="200" w:after="100"/>
        <w:ind w:left="0"/>
        <w:rPr>
          <w:b/>
          <w:color w:val="000000"/>
          <w:lang w:val="fr-CH"/>
        </w:rPr>
      </w:pPr>
      <w:r w:rsidRPr="00DC2024">
        <w:rPr>
          <w:b/>
          <w:color w:val="000000"/>
          <w:lang w:val="fr-CH"/>
        </w:rPr>
        <w:t xml:space="preserve">Obligation internationale de protéger </w:t>
      </w:r>
    </w:p>
    <w:p w:rsidR="00452A2C" w:rsidRPr="006E5BCF" w:rsidRDefault="00452A2C" w:rsidP="00452A2C">
      <w:pPr>
        <w:pStyle w:val="Paragraphedeliste"/>
        <w:numPr>
          <w:ilvl w:val="0"/>
          <w:numId w:val="15"/>
        </w:numPr>
        <w:spacing w:after="100" w:line="240" w:lineRule="auto"/>
        <w:ind w:left="360" w:hanging="270"/>
        <w:jc w:val="both"/>
        <w:rPr>
          <w:szCs w:val="21"/>
          <w:lang w:val="fr-CH"/>
        </w:rPr>
      </w:pPr>
      <w:r w:rsidRPr="00563C74">
        <w:rPr>
          <w:color w:val="000000"/>
          <w:szCs w:val="21"/>
          <w:lang w:val="fr-CH"/>
        </w:rPr>
        <w:t xml:space="preserve">Au-delà de la générosité et de la solidarité, l’obligation de protéger les personnes à la recherche d’une protection internationale est consacrée par des instruments internationaux des droits de l’homme, notamment la Convention relative aux droits de l’enfant de 1989, </w:t>
      </w:r>
      <w:r>
        <w:rPr>
          <w:color w:val="000000"/>
          <w:szCs w:val="21"/>
          <w:lang w:val="fr-CH"/>
        </w:rPr>
        <w:t>tout particulièrement</w:t>
      </w:r>
      <w:r w:rsidRPr="00563C74">
        <w:rPr>
          <w:color w:val="000000"/>
          <w:szCs w:val="21"/>
          <w:lang w:val="fr-CH"/>
        </w:rPr>
        <w:t xml:space="preserve"> en ses articles 3 </w:t>
      </w:r>
      <w:r w:rsidRPr="00C25804">
        <w:rPr>
          <w:szCs w:val="21"/>
          <w:lang w:val="fr-CH"/>
        </w:rPr>
        <w:t>et 22</w:t>
      </w:r>
      <w:r w:rsidRPr="00C25804">
        <w:rPr>
          <w:rStyle w:val="Appeldenotedefin"/>
          <w:szCs w:val="21"/>
          <w:lang w:val="fr-CH"/>
        </w:rPr>
        <w:endnoteReference w:id="6"/>
      </w:r>
      <w:r w:rsidRPr="00C25804">
        <w:rPr>
          <w:szCs w:val="21"/>
          <w:shd w:val="clear" w:color="auto" w:fill="FFFFFF"/>
          <w:lang w:val="fr-CH"/>
        </w:rPr>
        <w:t xml:space="preserve">, la Convention internationale sur la protection des droits </w:t>
      </w:r>
      <w:r w:rsidRPr="00C25804">
        <w:rPr>
          <w:szCs w:val="21"/>
          <w:shd w:val="clear" w:color="auto" w:fill="FFFFFF"/>
          <w:lang w:val="fr-CH"/>
        </w:rPr>
        <w:lastRenderedPageBreak/>
        <w:t xml:space="preserve">de tous les travailleurs migrants et des membres de leur famille de 1990, la </w:t>
      </w:r>
      <w:r w:rsidRPr="00C25804">
        <w:rPr>
          <w:szCs w:val="21"/>
          <w:lang w:val="fr-CH"/>
        </w:rPr>
        <w:t>Convention relative au statut des réfugiés de 1951 et le Protocole de New York relatif au statut des réfugiés de 1967</w:t>
      </w:r>
      <w:r w:rsidRPr="00C25804">
        <w:rPr>
          <w:rStyle w:val="Appeldenotedefin"/>
          <w:szCs w:val="21"/>
          <w:lang w:val="fr-CH"/>
        </w:rPr>
        <w:endnoteReference w:id="7"/>
      </w:r>
      <w:r w:rsidRPr="00C25804">
        <w:rPr>
          <w:szCs w:val="21"/>
          <w:lang w:val="fr-CH"/>
        </w:rPr>
        <w:t>, ainsi que d’autres instruments régionaux.</w:t>
      </w:r>
    </w:p>
    <w:p w:rsidR="00452A2C" w:rsidRPr="00AE5F30" w:rsidRDefault="00452A2C" w:rsidP="00452A2C">
      <w:pPr>
        <w:pStyle w:val="Paragraphedeliste"/>
        <w:numPr>
          <w:ilvl w:val="0"/>
          <w:numId w:val="15"/>
        </w:numPr>
        <w:spacing w:after="100" w:line="240" w:lineRule="auto"/>
        <w:ind w:left="363" w:hanging="272"/>
        <w:jc w:val="both"/>
        <w:rPr>
          <w:color w:val="000000"/>
          <w:szCs w:val="21"/>
          <w:lang w:val="fr-CH"/>
        </w:rPr>
      </w:pPr>
      <w:r w:rsidRPr="00AE5F30">
        <w:rPr>
          <w:color w:val="000000"/>
          <w:szCs w:val="21"/>
          <w:lang w:val="fr-CH"/>
        </w:rPr>
        <w:t xml:space="preserve">Le sauvetage en mer relève </w:t>
      </w:r>
      <w:r>
        <w:rPr>
          <w:color w:val="000000"/>
          <w:szCs w:val="21"/>
          <w:lang w:val="fr-CH"/>
        </w:rPr>
        <w:t xml:space="preserve">également </w:t>
      </w:r>
      <w:r w:rsidRPr="00AE5F30">
        <w:rPr>
          <w:color w:val="000000"/>
          <w:szCs w:val="21"/>
          <w:lang w:val="fr-CH"/>
        </w:rPr>
        <w:t xml:space="preserve">d’une obligation internationale des Etats au titre de la Convention internationale de 1974 pour la sauvegarde de la vie humaine en mer et la Convention </w:t>
      </w:r>
      <w:r w:rsidRPr="00C25804">
        <w:rPr>
          <w:color w:val="000000"/>
          <w:szCs w:val="21"/>
          <w:lang w:val="fr-CH"/>
        </w:rPr>
        <w:t xml:space="preserve">internationale de 1979 sur la recherche et le sauvetage maritimes qui dispose notamment en son </w:t>
      </w:r>
      <w:r w:rsidRPr="00C25804">
        <w:rPr>
          <w:szCs w:val="21"/>
          <w:lang w:val="fr-CH"/>
        </w:rPr>
        <w:t xml:space="preserve">chapitre 2.1.10 </w:t>
      </w:r>
      <w:r w:rsidRPr="00C25804">
        <w:rPr>
          <w:color w:val="000000"/>
          <w:szCs w:val="21"/>
          <w:lang w:val="fr-CH"/>
        </w:rPr>
        <w:t xml:space="preserve">que </w:t>
      </w:r>
      <w:r w:rsidRPr="00C25804">
        <w:rPr>
          <w:color w:val="000000"/>
          <w:szCs w:val="21"/>
        </w:rPr>
        <w:t>« les Parties s’assurent qu’une assistance est fournie à toute personne en détresse en mer. Elles le font sans tenir</w:t>
      </w:r>
      <w:r w:rsidRPr="00AE5F30">
        <w:rPr>
          <w:color w:val="000000"/>
          <w:szCs w:val="21"/>
        </w:rPr>
        <w:t xml:space="preserve"> compte de la nationalité ou du statut de cette personne, ni des circonstances dans lesquelles celle-ci a été trouvée. »</w:t>
      </w:r>
    </w:p>
    <w:p w:rsidR="00452A2C" w:rsidRDefault="00452A2C" w:rsidP="00452A2C">
      <w:pPr>
        <w:pStyle w:val="Paragraphedeliste"/>
        <w:numPr>
          <w:ilvl w:val="0"/>
          <w:numId w:val="15"/>
        </w:numPr>
        <w:spacing w:after="100" w:line="240" w:lineRule="auto"/>
        <w:ind w:left="360" w:hanging="270"/>
        <w:jc w:val="both"/>
        <w:rPr>
          <w:color w:val="000000"/>
          <w:szCs w:val="21"/>
          <w:shd w:val="clear" w:color="auto" w:fill="FFFFFF"/>
          <w:lang w:val="fr-CH"/>
        </w:rPr>
      </w:pPr>
      <w:r w:rsidRPr="00563C74">
        <w:rPr>
          <w:color w:val="000000"/>
          <w:szCs w:val="21"/>
          <w:shd w:val="clear" w:color="auto" w:fill="FFFFFF"/>
          <w:lang w:val="fr-CH"/>
        </w:rPr>
        <w:t>L’obligation conventionnelle de protéger est revêtue d’un devoir de diligence lorsqu’il s’agit des enfants</w:t>
      </w:r>
      <w:r>
        <w:rPr>
          <w:color w:val="000000"/>
          <w:szCs w:val="21"/>
          <w:shd w:val="clear" w:color="auto" w:fill="FFFFFF"/>
          <w:lang w:val="fr-CH"/>
        </w:rPr>
        <w:t xml:space="preserve"> et des</w:t>
      </w:r>
      <w:r w:rsidRPr="00563C74">
        <w:rPr>
          <w:color w:val="000000"/>
          <w:szCs w:val="21"/>
          <w:shd w:val="clear" w:color="auto" w:fill="FFFFFF"/>
          <w:lang w:val="fr-CH"/>
        </w:rPr>
        <w:t xml:space="preserve"> adolescents, pourvus de documents légaux ou non, accompagnés ou non, à la recherche de refuge conformément au principe universel de l’intérêt supérieur de l’enfant </w:t>
      </w:r>
      <w:r>
        <w:rPr>
          <w:color w:val="000000"/>
          <w:szCs w:val="21"/>
          <w:shd w:val="clear" w:color="auto" w:fill="FFFFFF"/>
          <w:lang w:val="fr-CH"/>
        </w:rPr>
        <w:t xml:space="preserve">(art. 3 de la Convention relative aux droits de l’enfant) </w:t>
      </w:r>
      <w:r w:rsidRPr="00563C74">
        <w:rPr>
          <w:color w:val="000000"/>
          <w:szCs w:val="21"/>
          <w:shd w:val="clear" w:color="auto" w:fill="FFFFFF"/>
          <w:lang w:val="fr-CH"/>
        </w:rPr>
        <w:t>qui engage les Etats à s’abstenir de pratiques de confinement, de rétention, de détention et d’isolement, et à déployer tous les efforts nécessaires pour préserver leurs droits fondamentaux, notamment leur droit à la vie, à la santé, et leu</w:t>
      </w:r>
      <w:r>
        <w:rPr>
          <w:color w:val="000000"/>
          <w:szCs w:val="21"/>
          <w:shd w:val="clear" w:color="auto" w:fill="FFFFFF"/>
          <w:lang w:val="fr-CH"/>
        </w:rPr>
        <w:t>r intégrité physique et morale.</w:t>
      </w:r>
    </w:p>
    <w:p w:rsidR="00452A2C" w:rsidRPr="00452A2C" w:rsidRDefault="00452A2C" w:rsidP="00452A2C">
      <w:pPr>
        <w:spacing w:after="100" w:line="240" w:lineRule="auto"/>
        <w:jc w:val="both"/>
        <w:rPr>
          <w:color w:val="000000"/>
          <w:szCs w:val="21"/>
          <w:shd w:val="clear" w:color="auto" w:fill="FFFFFF"/>
          <w:lang w:val="fr-CH"/>
        </w:rPr>
      </w:pPr>
    </w:p>
    <w:p w:rsidR="00452A2C" w:rsidRPr="00563C74" w:rsidRDefault="00452A2C" w:rsidP="00452A2C">
      <w:pPr>
        <w:pStyle w:val="Paragraphedeliste"/>
        <w:spacing w:before="200" w:after="100"/>
        <w:ind w:left="0"/>
        <w:rPr>
          <w:b/>
          <w:color w:val="000000"/>
          <w:szCs w:val="21"/>
          <w:lang w:val="fr-CH"/>
        </w:rPr>
      </w:pPr>
      <w:r w:rsidRPr="00563C74">
        <w:rPr>
          <w:b/>
          <w:color w:val="000000"/>
          <w:szCs w:val="21"/>
          <w:lang w:val="fr-CH"/>
        </w:rPr>
        <w:t xml:space="preserve">Appel au respect de la responsabilité de protéger </w:t>
      </w:r>
      <w:r>
        <w:rPr>
          <w:b/>
          <w:color w:val="000000"/>
          <w:szCs w:val="21"/>
          <w:lang w:val="fr-CH"/>
        </w:rPr>
        <w:t>les personnes fuyant les conflits et les persécutions</w:t>
      </w:r>
    </w:p>
    <w:p w:rsidR="00452A2C" w:rsidRPr="00E57CFE" w:rsidRDefault="00452A2C" w:rsidP="00452A2C">
      <w:pPr>
        <w:pStyle w:val="Paragraphedeliste"/>
        <w:numPr>
          <w:ilvl w:val="0"/>
          <w:numId w:val="15"/>
        </w:numPr>
        <w:spacing w:after="100" w:line="240" w:lineRule="auto"/>
        <w:ind w:left="360" w:hanging="270"/>
        <w:jc w:val="both"/>
        <w:rPr>
          <w:sz w:val="10"/>
          <w:szCs w:val="10"/>
          <w:lang w:val="fr-CH"/>
        </w:rPr>
      </w:pPr>
      <w:r>
        <w:rPr>
          <w:szCs w:val="21"/>
          <w:lang w:val="fr-CH"/>
        </w:rPr>
        <w:t>Le BICE et les organisations signataires de cette déclaration rappellent que d</w:t>
      </w:r>
      <w:r w:rsidRPr="00E57CFE">
        <w:rPr>
          <w:szCs w:val="21"/>
          <w:lang w:val="fr-CH"/>
        </w:rPr>
        <w:t xml:space="preserve">ifférents institutions et mécanismes des Nations Unies tels que le Conseil des droits de l’homme, le Haut-Commissariat des Nations Unies aux droits de l’homme, le Haut-Commissariat aux refugiés, l’Organisation Internationale des </w:t>
      </w:r>
      <w:r w:rsidRPr="00C25804">
        <w:rPr>
          <w:szCs w:val="21"/>
          <w:lang w:val="fr-CH"/>
        </w:rPr>
        <w:t>Migrations</w:t>
      </w:r>
      <w:r w:rsidRPr="00C25804">
        <w:rPr>
          <w:rStyle w:val="Appeldenotedefin"/>
          <w:szCs w:val="21"/>
          <w:lang w:val="fr-CH"/>
        </w:rPr>
        <w:endnoteReference w:id="8"/>
      </w:r>
      <w:r w:rsidRPr="00C25804">
        <w:rPr>
          <w:szCs w:val="21"/>
          <w:lang w:val="fr-CH"/>
        </w:rPr>
        <w:t>, le Comité des droits des travailleurs migrants</w:t>
      </w:r>
      <w:r w:rsidRPr="00C25804">
        <w:rPr>
          <w:rStyle w:val="Appeldenotedefin"/>
          <w:szCs w:val="21"/>
          <w:lang w:val="fr-CH"/>
        </w:rPr>
        <w:endnoteReference w:id="9"/>
      </w:r>
      <w:r w:rsidRPr="00C25804">
        <w:rPr>
          <w:szCs w:val="21"/>
          <w:lang w:val="fr-CH"/>
        </w:rPr>
        <w:t>, le Comité des droits de l’enfant</w:t>
      </w:r>
      <w:r w:rsidRPr="00C25804">
        <w:rPr>
          <w:rStyle w:val="Appeldenotedefin"/>
          <w:szCs w:val="21"/>
          <w:lang w:val="fr-CH"/>
        </w:rPr>
        <w:endnoteReference w:id="10"/>
      </w:r>
      <w:r w:rsidRPr="00C25804">
        <w:rPr>
          <w:szCs w:val="21"/>
          <w:lang w:val="fr-CH"/>
        </w:rPr>
        <w:t>, et le Rapporteur spécial sur les droits de l’homme des migrants</w:t>
      </w:r>
      <w:r w:rsidRPr="00C25804">
        <w:rPr>
          <w:rStyle w:val="Appeldenotedefin"/>
          <w:szCs w:val="21"/>
          <w:lang w:val="fr-CH"/>
        </w:rPr>
        <w:endnoteReference w:id="11"/>
      </w:r>
      <w:r w:rsidRPr="00C25804">
        <w:rPr>
          <w:szCs w:val="21"/>
          <w:lang w:val="fr-CH"/>
        </w:rPr>
        <w:t xml:space="preserve"> ont appelé les Etats à éviter la diabolisation des migrants et à lutter contre les réseaux de passeurs, tout en soulignant que les politiques répressives</w:t>
      </w:r>
      <w:r w:rsidRPr="00E57CFE">
        <w:rPr>
          <w:szCs w:val="21"/>
          <w:lang w:val="fr-CH"/>
        </w:rPr>
        <w:t xml:space="preserve"> contre l’immigration irrégulière ont échoué, de même que la fermeture des frontières</w:t>
      </w:r>
      <w:r w:rsidRPr="00C25804">
        <w:rPr>
          <w:szCs w:val="21"/>
          <w:lang w:val="fr-CH"/>
        </w:rPr>
        <w:t>. L’heure n’est plus au déni d’une situation qui, par son ampleur, impactera de manière significative les années à venir.</w:t>
      </w:r>
    </w:p>
    <w:p w:rsidR="00452A2C" w:rsidRDefault="00452A2C" w:rsidP="00452A2C">
      <w:pPr>
        <w:pStyle w:val="Paragraphedeliste"/>
        <w:numPr>
          <w:ilvl w:val="0"/>
          <w:numId w:val="15"/>
        </w:numPr>
        <w:spacing w:after="100" w:line="240" w:lineRule="auto"/>
        <w:ind w:left="360" w:hanging="270"/>
        <w:jc w:val="both"/>
        <w:rPr>
          <w:color w:val="000000"/>
          <w:szCs w:val="21"/>
          <w:lang w:val="fr-CH"/>
        </w:rPr>
      </w:pPr>
      <w:r w:rsidRPr="00C93779">
        <w:rPr>
          <w:szCs w:val="21"/>
          <w:lang w:val="fr-CH"/>
        </w:rPr>
        <w:t xml:space="preserve">La priorité donnée par l’Union européenne à la surveillance des frontières à travers l’Agence Frontex au détriment des </w:t>
      </w:r>
      <w:r>
        <w:rPr>
          <w:szCs w:val="21"/>
          <w:lang w:val="fr-CH"/>
        </w:rPr>
        <w:t>sauvetages en mer Egée, en mer M</w:t>
      </w:r>
      <w:r w:rsidRPr="00C93779">
        <w:rPr>
          <w:szCs w:val="21"/>
          <w:lang w:val="fr-CH"/>
        </w:rPr>
        <w:t xml:space="preserve">éditerranée et ailleurs a abouti </w:t>
      </w:r>
      <w:r>
        <w:rPr>
          <w:szCs w:val="21"/>
          <w:lang w:val="fr-CH"/>
        </w:rPr>
        <w:t xml:space="preserve">au </w:t>
      </w:r>
      <w:r w:rsidRPr="00C93779">
        <w:rPr>
          <w:szCs w:val="21"/>
          <w:lang w:val="fr-CH"/>
        </w:rPr>
        <w:t>déc</w:t>
      </w:r>
      <w:r>
        <w:rPr>
          <w:szCs w:val="21"/>
          <w:lang w:val="fr-CH"/>
        </w:rPr>
        <w:t>ompte macabre de plus de 2.980</w:t>
      </w:r>
      <w:r w:rsidRPr="00C93779">
        <w:rPr>
          <w:szCs w:val="21"/>
          <w:lang w:val="fr-CH"/>
        </w:rPr>
        <w:t xml:space="preserve"> personnes, y compris des enfants, qui ont péri en 2015. La photo du corps sans vie du petit Aylan, trois ans, échoué sur une plage a suscité l’indignation et l’émotion internationales. C’est le symbole de l’absence de</w:t>
      </w:r>
      <w:r>
        <w:rPr>
          <w:szCs w:val="21"/>
          <w:lang w:val="fr-CH"/>
        </w:rPr>
        <w:t>s</w:t>
      </w:r>
      <w:r w:rsidRPr="00C93779">
        <w:rPr>
          <w:szCs w:val="21"/>
          <w:lang w:val="fr-CH"/>
        </w:rPr>
        <w:t xml:space="preserve"> voies légales qui devraient permettre aux personnes en mouvement d’éviter des routes et traversées </w:t>
      </w:r>
      <w:r w:rsidRPr="00E57CFE">
        <w:rPr>
          <w:color w:val="000000"/>
          <w:szCs w:val="21"/>
          <w:lang w:val="fr-CH"/>
        </w:rPr>
        <w:t xml:space="preserve">périlleuses au risque de leur vie. Le remplacement de l’Opération italienne </w:t>
      </w:r>
      <w:r w:rsidRPr="00E57CFE">
        <w:rPr>
          <w:i/>
          <w:color w:val="000000"/>
          <w:szCs w:val="21"/>
          <w:lang w:val="fr-CH"/>
        </w:rPr>
        <w:t>Mare Nostrum</w:t>
      </w:r>
      <w:r w:rsidRPr="00E57CFE">
        <w:rPr>
          <w:color w:val="000000"/>
          <w:szCs w:val="21"/>
          <w:lang w:val="fr-CH"/>
        </w:rPr>
        <w:t xml:space="preserve"> par l’Opération européenne </w:t>
      </w:r>
      <w:r w:rsidRPr="00E57CFE">
        <w:rPr>
          <w:i/>
          <w:color w:val="000000"/>
          <w:szCs w:val="21"/>
          <w:lang w:val="fr-CH"/>
        </w:rPr>
        <w:t>Triton</w:t>
      </w:r>
      <w:r w:rsidRPr="00E57CFE">
        <w:rPr>
          <w:color w:val="000000"/>
          <w:szCs w:val="21"/>
          <w:lang w:val="fr-CH"/>
        </w:rPr>
        <w:t xml:space="preserve"> et le triplement des ressources de cette dernière n’est </w:t>
      </w:r>
      <w:r>
        <w:rPr>
          <w:color w:val="000000"/>
          <w:szCs w:val="21"/>
          <w:lang w:val="fr-CH"/>
        </w:rPr>
        <w:t xml:space="preserve">pour autant </w:t>
      </w:r>
      <w:r w:rsidRPr="00E57CFE">
        <w:rPr>
          <w:color w:val="000000"/>
          <w:szCs w:val="21"/>
          <w:lang w:val="fr-CH"/>
        </w:rPr>
        <w:t xml:space="preserve">acceptable que si la dimension de sauvetage en mer est maintenue et renforcée, et une approche basée sur le droit dûment intégrée. </w:t>
      </w:r>
    </w:p>
    <w:p w:rsidR="00452A2C" w:rsidRPr="00563C74" w:rsidRDefault="00452A2C" w:rsidP="00452A2C">
      <w:pPr>
        <w:pStyle w:val="Paragraphedeliste"/>
        <w:numPr>
          <w:ilvl w:val="0"/>
          <w:numId w:val="15"/>
        </w:numPr>
        <w:spacing w:after="100" w:line="240" w:lineRule="auto"/>
        <w:ind w:left="360"/>
        <w:jc w:val="both"/>
        <w:rPr>
          <w:color w:val="000000"/>
          <w:szCs w:val="21"/>
          <w:shd w:val="clear" w:color="auto" w:fill="FFFFFF"/>
          <w:lang w:val="fr-CH"/>
        </w:rPr>
      </w:pPr>
      <w:r w:rsidRPr="00563C74">
        <w:rPr>
          <w:color w:val="000000"/>
          <w:szCs w:val="21"/>
          <w:shd w:val="clear" w:color="auto" w:fill="FFFFFF"/>
          <w:lang w:val="fr-CH"/>
        </w:rPr>
        <w:t xml:space="preserve">Les solutions fragmentées et les </w:t>
      </w:r>
      <w:r>
        <w:rPr>
          <w:color w:val="000000"/>
          <w:szCs w:val="21"/>
          <w:shd w:val="clear" w:color="auto" w:fill="FFFFFF"/>
          <w:lang w:val="fr-CH"/>
        </w:rPr>
        <w:t>hésitations</w:t>
      </w:r>
      <w:r w:rsidRPr="00563C74">
        <w:rPr>
          <w:color w:val="000000"/>
          <w:szCs w:val="21"/>
          <w:shd w:val="clear" w:color="auto" w:fill="FFFFFF"/>
          <w:lang w:val="fr-CH"/>
        </w:rPr>
        <w:t xml:space="preserve"> des leaders de l’Union européenne à mettre en place une stratégie commune fondée sur le respect des droits fondamentaux des personnes à la recherche de refuge, et sur la responsabilité partagée de ses Etats membres, prêtent le flanc dans les médias, dans l’opinion et chez </w:t>
      </w:r>
      <w:r>
        <w:rPr>
          <w:color w:val="000000"/>
          <w:szCs w:val="21"/>
          <w:shd w:val="clear" w:color="auto" w:fill="FFFFFF"/>
          <w:lang w:val="fr-CH"/>
        </w:rPr>
        <w:t>certains</w:t>
      </w:r>
      <w:r w:rsidRPr="00563C74">
        <w:rPr>
          <w:color w:val="000000"/>
          <w:szCs w:val="21"/>
          <w:shd w:val="clear" w:color="auto" w:fill="FFFFFF"/>
          <w:lang w:val="fr-CH"/>
        </w:rPr>
        <w:t xml:space="preserve"> dirigeants politiques, </w:t>
      </w:r>
      <w:r>
        <w:rPr>
          <w:color w:val="000000"/>
          <w:szCs w:val="21"/>
          <w:shd w:val="clear" w:color="auto" w:fill="FFFFFF"/>
          <w:lang w:val="fr-CH"/>
        </w:rPr>
        <w:t xml:space="preserve">à </w:t>
      </w:r>
      <w:r w:rsidRPr="00563C74">
        <w:rPr>
          <w:color w:val="000000"/>
          <w:szCs w:val="21"/>
          <w:shd w:val="clear" w:color="auto" w:fill="FFFFFF"/>
          <w:lang w:val="fr-CH"/>
        </w:rPr>
        <w:t>un sentiment de haine, de xénophobie et d’intolérance à l’égard de ces personnes</w:t>
      </w:r>
      <w:r>
        <w:rPr>
          <w:color w:val="000000"/>
          <w:szCs w:val="21"/>
          <w:shd w:val="clear" w:color="auto" w:fill="FFFFFF"/>
          <w:lang w:val="fr-CH"/>
        </w:rPr>
        <w:t>. Elles</w:t>
      </w:r>
      <w:r w:rsidRPr="00563C74">
        <w:rPr>
          <w:color w:val="000000"/>
          <w:szCs w:val="21"/>
          <w:shd w:val="clear" w:color="auto" w:fill="FFFFFF"/>
          <w:lang w:val="fr-CH"/>
        </w:rPr>
        <w:t xml:space="preserve"> exacerbent les discours populistes, </w:t>
      </w:r>
      <w:r>
        <w:rPr>
          <w:color w:val="000000"/>
          <w:szCs w:val="21"/>
          <w:shd w:val="clear" w:color="auto" w:fill="FFFFFF"/>
          <w:lang w:val="fr-CH"/>
        </w:rPr>
        <w:t>marginalisant</w:t>
      </w:r>
      <w:r w:rsidRPr="00563C74">
        <w:rPr>
          <w:color w:val="000000"/>
          <w:szCs w:val="21"/>
          <w:shd w:val="clear" w:color="auto" w:fill="FFFFFF"/>
          <w:lang w:val="fr-CH"/>
        </w:rPr>
        <w:t xml:space="preserve"> le </w:t>
      </w:r>
      <w:r w:rsidRPr="00563C74">
        <w:rPr>
          <w:color w:val="000000"/>
          <w:szCs w:val="21"/>
          <w:lang w:val="fr-CH"/>
        </w:rPr>
        <w:t xml:space="preserve">rôle que jouent ces personnes en tant que partenaires du développement des pays d’origine, de transit et d’accueil. </w:t>
      </w:r>
    </w:p>
    <w:p w:rsidR="00452A2C" w:rsidRPr="00563C74" w:rsidRDefault="00452A2C" w:rsidP="00452A2C">
      <w:pPr>
        <w:pStyle w:val="Paragraphedeliste"/>
        <w:numPr>
          <w:ilvl w:val="0"/>
          <w:numId w:val="15"/>
        </w:numPr>
        <w:spacing w:after="100" w:line="240" w:lineRule="auto"/>
        <w:ind w:left="360"/>
        <w:jc w:val="both"/>
        <w:rPr>
          <w:color w:val="000000"/>
          <w:szCs w:val="21"/>
          <w:shd w:val="clear" w:color="auto" w:fill="FFFFFF"/>
          <w:lang w:val="fr-CH"/>
        </w:rPr>
      </w:pPr>
      <w:r w:rsidRPr="00563C74">
        <w:rPr>
          <w:color w:val="000000"/>
          <w:szCs w:val="21"/>
          <w:shd w:val="clear" w:color="auto" w:fill="FFFFFF"/>
          <w:lang w:val="fr-CH"/>
        </w:rPr>
        <w:t>La détention, la rétention ou l’isolement des personnes à la recherche d</w:t>
      </w:r>
      <w:r>
        <w:rPr>
          <w:color w:val="000000"/>
          <w:szCs w:val="21"/>
          <w:shd w:val="clear" w:color="auto" w:fill="FFFFFF"/>
          <w:lang w:val="fr-CH"/>
        </w:rPr>
        <w:t>’un</w:t>
      </w:r>
      <w:r w:rsidRPr="00563C74">
        <w:rPr>
          <w:color w:val="000000"/>
          <w:szCs w:val="21"/>
          <w:shd w:val="clear" w:color="auto" w:fill="FFFFFF"/>
          <w:lang w:val="fr-CH"/>
        </w:rPr>
        <w:t xml:space="preserve"> refuge, notamment les enfants</w:t>
      </w:r>
      <w:r>
        <w:rPr>
          <w:color w:val="000000"/>
          <w:szCs w:val="21"/>
          <w:shd w:val="clear" w:color="auto" w:fill="FFFFFF"/>
          <w:lang w:val="fr-CH"/>
        </w:rPr>
        <w:t xml:space="preserve"> et</w:t>
      </w:r>
      <w:r w:rsidRPr="00563C74">
        <w:rPr>
          <w:color w:val="000000"/>
          <w:szCs w:val="21"/>
          <w:shd w:val="clear" w:color="auto" w:fill="FFFFFF"/>
          <w:lang w:val="fr-CH"/>
        </w:rPr>
        <w:t xml:space="preserve"> les adolescents, au motif qu’ils n’auraient pas les papiers requis n’est pas conforme au droit international. L’exploitation économique ou sexuelle, la torture, les traitements cruels, inhumains et dégradants exercés sur ces personnes sont contraires aux obligations internationales des Etats. L’érection de murs aux frontières et la lutte timide contre les réseaux criminels de trafiquants sont de nature à mettre en péril les droits fondamentaux de ces personnes.</w:t>
      </w:r>
    </w:p>
    <w:p w:rsidR="00452A2C" w:rsidRPr="00563C74" w:rsidRDefault="00452A2C" w:rsidP="00452A2C">
      <w:pPr>
        <w:pStyle w:val="Paragraphedeliste"/>
        <w:numPr>
          <w:ilvl w:val="0"/>
          <w:numId w:val="15"/>
        </w:numPr>
        <w:spacing w:after="100" w:line="240" w:lineRule="auto"/>
        <w:ind w:left="360"/>
        <w:jc w:val="both"/>
        <w:rPr>
          <w:color w:val="000000"/>
          <w:szCs w:val="21"/>
          <w:shd w:val="clear" w:color="auto" w:fill="FFFFFF"/>
          <w:lang w:val="fr-CH"/>
        </w:rPr>
      </w:pPr>
      <w:r w:rsidRPr="00563C74">
        <w:rPr>
          <w:color w:val="000000"/>
          <w:szCs w:val="21"/>
          <w:shd w:val="clear" w:color="auto" w:fill="FFFFFF"/>
          <w:lang w:val="fr-CH"/>
        </w:rPr>
        <w:t>La délocalisation dans les pays de provenance des personnes à la recherche d</w:t>
      </w:r>
      <w:r>
        <w:rPr>
          <w:color w:val="000000"/>
          <w:szCs w:val="21"/>
          <w:shd w:val="clear" w:color="auto" w:fill="FFFFFF"/>
          <w:lang w:val="fr-CH"/>
        </w:rPr>
        <w:t>’un</w:t>
      </w:r>
      <w:r w:rsidRPr="00563C74">
        <w:rPr>
          <w:color w:val="000000"/>
          <w:szCs w:val="21"/>
          <w:shd w:val="clear" w:color="auto" w:fill="FFFFFF"/>
          <w:lang w:val="fr-CH"/>
        </w:rPr>
        <w:t xml:space="preserve"> refuge</w:t>
      </w:r>
      <w:r>
        <w:rPr>
          <w:color w:val="000000"/>
          <w:szCs w:val="21"/>
          <w:shd w:val="clear" w:color="auto" w:fill="FFFFFF"/>
          <w:lang w:val="fr-CH"/>
        </w:rPr>
        <w:t>,</w:t>
      </w:r>
      <w:r w:rsidRPr="00563C74">
        <w:rPr>
          <w:color w:val="000000"/>
          <w:szCs w:val="21"/>
          <w:shd w:val="clear" w:color="auto" w:fill="FFFFFF"/>
          <w:lang w:val="fr-CH"/>
        </w:rPr>
        <w:t xml:space="preserve"> des centres de traitement de leurs dossiers de demande d’asile à travers des accords de partenariat, de mobilité et de réadmission qui privilégient le rôle de gendarme des pays tiers aux frontières extérieures de l’Union européenne, accentue la violation des droits et déresponsabilise l’Union et ses Etats membres. L’installation des « hotspots » dans les pays d’entrée dans l’Union doit respecter </w:t>
      </w:r>
      <w:r>
        <w:rPr>
          <w:color w:val="000000"/>
          <w:szCs w:val="21"/>
          <w:shd w:val="clear" w:color="auto" w:fill="FFFFFF"/>
          <w:lang w:val="fr-CH"/>
        </w:rPr>
        <w:t xml:space="preserve">notamment </w:t>
      </w:r>
      <w:r w:rsidRPr="00563C74">
        <w:rPr>
          <w:color w:val="000000"/>
          <w:szCs w:val="21"/>
          <w:shd w:val="clear" w:color="auto" w:fill="FFFFFF"/>
          <w:lang w:val="fr-CH"/>
        </w:rPr>
        <w:t xml:space="preserve">la jurisprudence de la Cour européenne des droits de l’homme dans l’affaire </w:t>
      </w:r>
      <w:r w:rsidRPr="00563C74">
        <w:rPr>
          <w:i/>
          <w:color w:val="000000"/>
          <w:szCs w:val="21"/>
          <w:lang w:val="fr-CH"/>
        </w:rPr>
        <w:t>M.S.S. c. Belgique et Grèce</w:t>
      </w:r>
      <w:r w:rsidRPr="00563C74">
        <w:rPr>
          <w:color w:val="000000"/>
          <w:szCs w:val="21"/>
          <w:lang w:val="fr-CH"/>
        </w:rPr>
        <w:t xml:space="preserve"> </w:t>
      </w:r>
      <w:r w:rsidRPr="00C25804">
        <w:rPr>
          <w:szCs w:val="21"/>
          <w:lang w:val="fr-CH"/>
        </w:rPr>
        <w:t>du 21 janvier 2011</w:t>
      </w:r>
      <w:r w:rsidRPr="00C25804">
        <w:rPr>
          <w:rStyle w:val="Appeldenotedefin"/>
          <w:szCs w:val="21"/>
          <w:lang w:val="fr-CH"/>
        </w:rPr>
        <w:endnoteReference w:id="12"/>
      </w:r>
      <w:r w:rsidRPr="00C25804">
        <w:rPr>
          <w:szCs w:val="21"/>
          <w:lang w:val="fr-CH"/>
        </w:rPr>
        <w:t>.</w:t>
      </w:r>
      <w:r w:rsidRPr="00563C74">
        <w:rPr>
          <w:color w:val="000000"/>
          <w:szCs w:val="21"/>
          <w:lang w:val="fr-CH"/>
        </w:rPr>
        <w:t xml:space="preserve"> </w:t>
      </w:r>
    </w:p>
    <w:p w:rsidR="00452A2C" w:rsidRPr="00DC2024" w:rsidRDefault="00452A2C" w:rsidP="00452A2C">
      <w:pPr>
        <w:pStyle w:val="Paragraphedeliste"/>
        <w:spacing w:before="200" w:after="100"/>
        <w:ind w:left="0"/>
        <w:rPr>
          <w:b/>
          <w:color w:val="000000"/>
          <w:shd w:val="clear" w:color="auto" w:fill="FFFFFF"/>
          <w:lang w:val="fr-CH"/>
        </w:rPr>
      </w:pPr>
      <w:r w:rsidRPr="00DC2024">
        <w:rPr>
          <w:b/>
          <w:color w:val="000000"/>
          <w:shd w:val="clear" w:color="auto" w:fill="FFFFFF"/>
          <w:lang w:val="fr-CH"/>
        </w:rPr>
        <w:t>Vers une coopération internationale renforcée</w:t>
      </w:r>
    </w:p>
    <w:p w:rsidR="00452A2C" w:rsidRPr="00563C74" w:rsidRDefault="00452A2C" w:rsidP="00452A2C">
      <w:pPr>
        <w:pStyle w:val="Paragraphedeliste"/>
        <w:numPr>
          <w:ilvl w:val="0"/>
          <w:numId w:val="15"/>
        </w:numPr>
        <w:spacing w:after="100" w:line="240" w:lineRule="auto"/>
        <w:jc w:val="both"/>
        <w:rPr>
          <w:b/>
          <w:color w:val="000000"/>
          <w:szCs w:val="21"/>
          <w:shd w:val="clear" w:color="auto" w:fill="FFFFFF"/>
          <w:lang w:val="fr-CH"/>
        </w:rPr>
      </w:pPr>
      <w:r w:rsidRPr="00D82D56">
        <w:rPr>
          <w:color w:val="000000"/>
          <w:szCs w:val="21"/>
          <w:shd w:val="clear" w:color="auto" w:fill="FFFFFF"/>
          <w:lang w:val="fr-CH"/>
        </w:rPr>
        <w:t>Le BICE</w:t>
      </w:r>
      <w:r>
        <w:rPr>
          <w:b/>
          <w:color w:val="000000"/>
          <w:szCs w:val="21"/>
          <w:shd w:val="clear" w:color="auto" w:fill="FFFFFF"/>
          <w:lang w:val="fr-CH"/>
        </w:rPr>
        <w:t xml:space="preserve"> </w:t>
      </w:r>
      <w:r>
        <w:rPr>
          <w:szCs w:val="21"/>
          <w:lang w:val="fr-CH"/>
        </w:rPr>
        <w:t>et les organisations signataires de la présente déclaration saluent les engagements et initiatives suivants qui vont dans le sens d’une prise en compte plus globale du phénomène migratoire actuel vers l’Europe :</w:t>
      </w:r>
    </w:p>
    <w:p w:rsidR="00452A2C" w:rsidRPr="00C25804" w:rsidRDefault="00452A2C" w:rsidP="00452A2C">
      <w:pPr>
        <w:pStyle w:val="Paragraphedeliste"/>
        <w:numPr>
          <w:ilvl w:val="1"/>
          <w:numId w:val="15"/>
        </w:numPr>
        <w:spacing w:after="100" w:line="240" w:lineRule="auto"/>
        <w:ind w:left="993" w:hanging="502"/>
        <w:jc w:val="both"/>
        <w:rPr>
          <w:szCs w:val="21"/>
          <w:lang w:val="fr-CH"/>
        </w:rPr>
      </w:pPr>
      <w:r w:rsidRPr="00563C74">
        <w:rPr>
          <w:color w:val="000000"/>
          <w:szCs w:val="21"/>
          <w:lang w:val="fr-CH"/>
        </w:rPr>
        <w:t xml:space="preserve">Des Etats comme le Liban accueillent 1.113.914 refugiés syriens enregistrés, la </w:t>
      </w:r>
      <w:r w:rsidRPr="00C25804">
        <w:rPr>
          <w:szCs w:val="21"/>
          <w:lang w:val="fr-CH"/>
        </w:rPr>
        <w:t>Jordanie 628.887 et la Turquie, 4.086.760, soit respectivement environ 25%, 10% et 5% de leur population</w:t>
      </w:r>
      <w:r w:rsidRPr="00C25804">
        <w:rPr>
          <w:rStyle w:val="Appeldenotedefin"/>
          <w:szCs w:val="21"/>
          <w:lang w:val="fr-CH"/>
        </w:rPr>
        <w:endnoteReference w:id="13"/>
      </w:r>
      <w:r w:rsidRPr="00C25804">
        <w:rPr>
          <w:szCs w:val="21"/>
          <w:lang w:val="fr-CH"/>
        </w:rPr>
        <w:t xml:space="preserve">, alors que les 533.824 personnes enregistrées en Europe entre avril 2011 et août 2015, ne représentent que 2% de la population totale de l’Union européenne. D’autres Etats comme l’Allemagne et la Suède assument leur responsabilité de protéger en accueillant de nombreuses personnes cherchant refuge. </w:t>
      </w:r>
    </w:p>
    <w:p w:rsidR="00452A2C" w:rsidRPr="00C25804" w:rsidRDefault="00452A2C" w:rsidP="00452A2C">
      <w:pPr>
        <w:pStyle w:val="Paragraphedeliste"/>
        <w:numPr>
          <w:ilvl w:val="1"/>
          <w:numId w:val="15"/>
        </w:numPr>
        <w:spacing w:after="100" w:line="240" w:lineRule="auto"/>
        <w:ind w:left="993" w:hanging="502"/>
        <w:jc w:val="both"/>
        <w:rPr>
          <w:szCs w:val="21"/>
          <w:lang w:val="fr-CH"/>
        </w:rPr>
      </w:pPr>
      <w:r w:rsidRPr="00C25804">
        <w:rPr>
          <w:szCs w:val="21"/>
          <w:lang w:val="fr-CH"/>
        </w:rPr>
        <w:t xml:space="preserve">L’accord du 23 septembre 2015 de l’Union européenne sur la répartition de 120.000 personnes au sein des Etats membres de l’Union et le soutien financier annoncé aux pays du Moyen Orient accueillant des refugiés syriens sont des actes qui vont dans le bon sens. </w:t>
      </w:r>
    </w:p>
    <w:p w:rsidR="00452A2C" w:rsidRPr="00C25804" w:rsidRDefault="00452A2C" w:rsidP="00452A2C">
      <w:pPr>
        <w:pStyle w:val="Paragraphedeliste"/>
        <w:numPr>
          <w:ilvl w:val="1"/>
          <w:numId w:val="15"/>
        </w:numPr>
        <w:spacing w:after="100" w:line="240" w:lineRule="auto"/>
        <w:ind w:left="993" w:hanging="502"/>
        <w:jc w:val="both"/>
        <w:rPr>
          <w:szCs w:val="21"/>
          <w:shd w:val="clear" w:color="auto" w:fill="FFFFFF"/>
          <w:lang w:val="fr-CH"/>
        </w:rPr>
      </w:pPr>
      <w:r w:rsidRPr="00C25804">
        <w:rPr>
          <w:iCs/>
          <w:szCs w:val="21"/>
          <w:lang w:val="fr-CH"/>
        </w:rPr>
        <w:t xml:space="preserve">Deux études ont été commandées par le Conseil des droits de l’homme des Nations Unies : la première au Haut Commissariat aux droits de l’homme. Elle porte sur </w:t>
      </w:r>
      <w:r w:rsidRPr="00C25804">
        <w:rPr>
          <w:szCs w:val="21"/>
          <w:lang w:val="fr-CH"/>
        </w:rPr>
        <w:t>la situation des migrants en transit, notamment les enfants et adolescents non accompagnés, ainsi que les femmes et les filles</w:t>
      </w:r>
      <w:r w:rsidRPr="00C25804">
        <w:rPr>
          <w:rStyle w:val="Appeldenotedefin"/>
          <w:szCs w:val="21"/>
          <w:lang w:val="fr-CH"/>
        </w:rPr>
        <w:endnoteReference w:id="14"/>
      </w:r>
      <w:r w:rsidRPr="00C25804">
        <w:rPr>
          <w:iCs/>
          <w:szCs w:val="21"/>
          <w:lang w:val="fr-CH"/>
        </w:rPr>
        <w:t xml:space="preserve">. La seconde étude sera réalisée par le </w:t>
      </w:r>
      <w:r w:rsidRPr="00C25804">
        <w:rPr>
          <w:szCs w:val="21"/>
          <w:lang w:val="fr-CH"/>
        </w:rPr>
        <w:t>Comité consultatif du Conseil et traitera de la question globale des enfants et adolescents migrants non accompagnés et des droits de l’homme</w:t>
      </w:r>
      <w:r w:rsidRPr="00C25804">
        <w:rPr>
          <w:rStyle w:val="Appeldenotedefin"/>
          <w:szCs w:val="21"/>
          <w:lang w:val="fr-CH"/>
        </w:rPr>
        <w:endnoteReference w:id="15"/>
      </w:r>
      <w:r w:rsidRPr="00C25804">
        <w:rPr>
          <w:szCs w:val="21"/>
          <w:lang w:val="fr-CH"/>
        </w:rPr>
        <w:t xml:space="preserve">. Ces initiatives louables devraient proposer des actions concrètes visant à traiter, notamment à travers la coopération internationale, la protection des enfants à la recherche de refuge. </w:t>
      </w:r>
    </w:p>
    <w:p w:rsidR="00452A2C" w:rsidRPr="00563C74" w:rsidRDefault="00452A2C" w:rsidP="00452A2C">
      <w:pPr>
        <w:pStyle w:val="Paragraphedeliste"/>
        <w:numPr>
          <w:ilvl w:val="1"/>
          <w:numId w:val="15"/>
        </w:numPr>
        <w:spacing w:after="100" w:line="240" w:lineRule="auto"/>
        <w:ind w:left="993" w:hanging="502"/>
        <w:jc w:val="both"/>
        <w:rPr>
          <w:color w:val="000000"/>
          <w:szCs w:val="21"/>
          <w:shd w:val="clear" w:color="auto" w:fill="FFFFFF"/>
          <w:lang w:val="fr-CH"/>
        </w:rPr>
      </w:pPr>
      <w:r>
        <w:rPr>
          <w:color w:val="000000"/>
          <w:szCs w:val="21"/>
          <w:lang w:val="fr-CH"/>
        </w:rPr>
        <w:t>En outre</w:t>
      </w:r>
      <w:r w:rsidRPr="00563C74">
        <w:rPr>
          <w:color w:val="000000"/>
          <w:szCs w:val="21"/>
          <w:lang w:val="fr-CH"/>
        </w:rPr>
        <w:t>, le Comité des droits de l’enfant et le Comité pour la protection des droits des travailleurs migrants et des membres de leur famille sont conjointement engagés dans le développement d’une Observation générale sur « les enfants dans le contexte des migrations », ce qui devrait orienter les législa</w:t>
      </w:r>
      <w:r>
        <w:rPr>
          <w:color w:val="000000"/>
          <w:szCs w:val="21"/>
          <w:lang w:val="fr-CH"/>
        </w:rPr>
        <w:t>tions et la pratique des Etats.</w:t>
      </w:r>
    </w:p>
    <w:p w:rsidR="00452A2C" w:rsidRPr="00DF51DE" w:rsidRDefault="00452A2C" w:rsidP="00452A2C">
      <w:pPr>
        <w:pStyle w:val="Paragraphedeliste"/>
        <w:spacing w:before="200" w:after="100"/>
        <w:ind w:left="0"/>
        <w:rPr>
          <w:b/>
          <w:color w:val="000000"/>
          <w:szCs w:val="21"/>
          <w:shd w:val="clear" w:color="auto" w:fill="FFFFFF"/>
          <w:lang w:val="fr-CH"/>
        </w:rPr>
      </w:pPr>
      <w:r w:rsidRPr="00DF51DE">
        <w:rPr>
          <w:b/>
          <w:color w:val="000000"/>
          <w:szCs w:val="21"/>
          <w:shd w:val="clear" w:color="auto" w:fill="FFFFFF"/>
          <w:lang w:val="fr-CH"/>
        </w:rPr>
        <w:t>Recommandations</w:t>
      </w:r>
      <w:r>
        <w:rPr>
          <w:b/>
          <w:color w:val="000000"/>
          <w:szCs w:val="21"/>
          <w:shd w:val="clear" w:color="auto" w:fill="FFFFFF"/>
          <w:lang w:val="fr-CH"/>
        </w:rPr>
        <w:t xml:space="preserve"> du BICE et des organisations signataires</w:t>
      </w:r>
    </w:p>
    <w:p w:rsidR="00452A2C" w:rsidRPr="00DC2024" w:rsidRDefault="00452A2C" w:rsidP="00452A2C">
      <w:pPr>
        <w:pStyle w:val="Paragraphedeliste"/>
        <w:numPr>
          <w:ilvl w:val="0"/>
          <w:numId w:val="15"/>
        </w:numPr>
        <w:spacing w:after="100" w:line="240" w:lineRule="auto"/>
        <w:ind w:left="360"/>
        <w:jc w:val="both"/>
        <w:rPr>
          <w:color w:val="000000"/>
          <w:szCs w:val="21"/>
          <w:shd w:val="clear" w:color="auto" w:fill="FFFFFF"/>
          <w:lang w:val="fr-CH"/>
        </w:rPr>
      </w:pPr>
      <w:r w:rsidRPr="00563C74">
        <w:rPr>
          <w:rFonts w:eastAsia="Times New Roman"/>
          <w:color w:val="000000"/>
          <w:szCs w:val="21"/>
          <w:lang w:val="fr-CH"/>
        </w:rPr>
        <w:t>L</w:t>
      </w:r>
      <w:r w:rsidRPr="00563C74">
        <w:rPr>
          <w:rFonts w:eastAsia="Times New Roman"/>
          <w:color w:val="000000"/>
          <w:szCs w:val="21"/>
        </w:rPr>
        <w:t xml:space="preserve">es droits des enfants en particulier des enfants et adolescents migrants accompagnés ou non dans les pays de transit et de destination devraient être respectés et </w:t>
      </w:r>
      <w:r w:rsidRPr="00563C74">
        <w:rPr>
          <w:color w:val="000000"/>
          <w:szCs w:val="21"/>
          <w:lang w:val="fr-CH"/>
        </w:rPr>
        <w:t xml:space="preserve">la réunification des familles facilitée, le cas échéant, comme un objectif important en vue de promouvoir le bien-être et l’intérêt supérieur des enfants et adolescents migrants. Il est </w:t>
      </w:r>
      <w:r>
        <w:rPr>
          <w:color w:val="000000"/>
          <w:szCs w:val="21"/>
          <w:lang w:val="fr-CH"/>
        </w:rPr>
        <w:t xml:space="preserve">également </w:t>
      </w:r>
      <w:r w:rsidRPr="00563C74">
        <w:rPr>
          <w:color w:val="000000"/>
          <w:szCs w:val="21"/>
          <w:lang w:val="fr-CH"/>
        </w:rPr>
        <w:t>important de  respecter les obligations de notification et d'accès consulaires énoncés dans la Convention de Vienne sur les relations consulaires de sorte que les États puissent fournir une assistance consulaire aux enfants, y compris une assistance juridique.</w:t>
      </w:r>
    </w:p>
    <w:p w:rsidR="00452A2C" w:rsidRPr="00DC2024" w:rsidRDefault="00452A2C" w:rsidP="00452A2C">
      <w:pPr>
        <w:pStyle w:val="Paragraphedeliste"/>
        <w:numPr>
          <w:ilvl w:val="0"/>
          <w:numId w:val="15"/>
        </w:numPr>
        <w:spacing w:after="100" w:line="240" w:lineRule="auto"/>
        <w:ind w:left="360"/>
        <w:jc w:val="both"/>
        <w:rPr>
          <w:color w:val="000000"/>
          <w:szCs w:val="21"/>
          <w:shd w:val="clear" w:color="auto" w:fill="FFFFFF"/>
          <w:lang w:val="fr-CH"/>
        </w:rPr>
      </w:pPr>
      <w:r w:rsidRPr="00563C74">
        <w:rPr>
          <w:color w:val="000000"/>
          <w:szCs w:val="21"/>
          <w:shd w:val="clear" w:color="auto" w:fill="FFFFFF"/>
          <w:lang w:val="fr-CH"/>
        </w:rPr>
        <w:t xml:space="preserve">Les conditions d’accueil des personnes à la recherche de la protection internationale devraient respecter leur dignité et leurs droits, notamment au niveau du passage des frontières maritimes, terrestres et aériennes entre Etats, du logement, de l’alimentation, du délai de traitement des dossiers de demande d’asile qui devrait être raisonnable, </w:t>
      </w:r>
      <w:r w:rsidRPr="00563C74">
        <w:rPr>
          <w:color w:val="000000"/>
          <w:szCs w:val="21"/>
          <w:lang w:val="fr-CH"/>
        </w:rPr>
        <w:t>de la perception qu’a le public des personnes cherchant refuge</w:t>
      </w:r>
      <w:r w:rsidRPr="00563C74">
        <w:rPr>
          <w:color w:val="000000"/>
          <w:szCs w:val="21"/>
          <w:shd w:val="clear" w:color="auto" w:fill="FFFFFF"/>
          <w:lang w:val="fr-CH"/>
        </w:rPr>
        <w:t xml:space="preserve"> ainsi que l’accès aux droits sans discrimination entre nationaux et re</w:t>
      </w:r>
      <w:r>
        <w:rPr>
          <w:color w:val="000000"/>
          <w:szCs w:val="21"/>
          <w:shd w:val="clear" w:color="auto" w:fill="FFFFFF"/>
          <w:lang w:val="fr-CH"/>
        </w:rPr>
        <w:t>fugiés.</w:t>
      </w:r>
    </w:p>
    <w:p w:rsidR="00452A2C" w:rsidRPr="00DC2024" w:rsidRDefault="00452A2C" w:rsidP="00452A2C">
      <w:pPr>
        <w:pStyle w:val="Paragraphedeliste"/>
        <w:numPr>
          <w:ilvl w:val="0"/>
          <w:numId w:val="15"/>
        </w:numPr>
        <w:spacing w:after="100" w:line="240" w:lineRule="auto"/>
        <w:ind w:left="360"/>
        <w:jc w:val="both"/>
        <w:rPr>
          <w:color w:val="000000"/>
          <w:szCs w:val="21"/>
          <w:shd w:val="clear" w:color="auto" w:fill="FFFFFF"/>
          <w:lang w:val="fr-CH"/>
        </w:rPr>
      </w:pPr>
      <w:r w:rsidRPr="00563C74">
        <w:rPr>
          <w:rFonts w:eastAsia="Times New Roman"/>
          <w:color w:val="000000"/>
          <w:szCs w:val="21"/>
        </w:rPr>
        <w:t>Les Etats devraient s’abstenir d’adopter de</w:t>
      </w:r>
      <w:r>
        <w:rPr>
          <w:rFonts w:eastAsia="Times New Roman"/>
          <w:color w:val="000000"/>
          <w:szCs w:val="21"/>
        </w:rPr>
        <w:t>s</w:t>
      </w:r>
      <w:r w:rsidRPr="00563C74">
        <w:rPr>
          <w:rFonts w:eastAsia="Times New Roman"/>
          <w:color w:val="000000"/>
          <w:szCs w:val="21"/>
        </w:rPr>
        <w:t xml:space="preserve"> législations, des politiques publiques et des pratiques susceptibles d’avoir des effets néfastes sur le plein exercice des droits de l’homme et des libertés fondamentales par les personnes persécuté</w:t>
      </w:r>
      <w:r>
        <w:rPr>
          <w:rFonts w:eastAsia="Times New Roman"/>
          <w:color w:val="000000"/>
          <w:szCs w:val="21"/>
        </w:rPr>
        <w:t>e</w:t>
      </w:r>
      <w:r w:rsidRPr="00563C74">
        <w:rPr>
          <w:rFonts w:eastAsia="Times New Roman"/>
          <w:color w:val="000000"/>
          <w:szCs w:val="21"/>
        </w:rPr>
        <w:t xml:space="preserve">s et victimes de </w:t>
      </w:r>
      <w:r>
        <w:rPr>
          <w:rFonts w:eastAsia="Times New Roman"/>
          <w:color w:val="000000"/>
          <w:szCs w:val="21"/>
        </w:rPr>
        <w:t>conflits, surtout lorsqu’el</w:t>
      </w:r>
      <w:r w:rsidRPr="00563C74">
        <w:rPr>
          <w:rFonts w:eastAsia="Times New Roman"/>
          <w:color w:val="000000"/>
          <w:szCs w:val="21"/>
        </w:rPr>
        <w:t>l</w:t>
      </w:r>
      <w:r>
        <w:rPr>
          <w:rFonts w:eastAsia="Times New Roman"/>
          <w:color w:val="000000"/>
          <w:szCs w:val="21"/>
        </w:rPr>
        <w:t>e</w:t>
      </w:r>
      <w:r w:rsidRPr="00563C74">
        <w:rPr>
          <w:rFonts w:eastAsia="Times New Roman"/>
          <w:color w:val="000000"/>
          <w:szCs w:val="21"/>
        </w:rPr>
        <w:t>s sont mineur</w:t>
      </w:r>
      <w:r>
        <w:rPr>
          <w:rFonts w:eastAsia="Times New Roman"/>
          <w:color w:val="000000"/>
          <w:szCs w:val="21"/>
        </w:rPr>
        <w:t>e</w:t>
      </w:r>
      <w:r w:rsidRPr="00563C74">
        <w:rPr>
          <w:rFonts w:eastAsia="Times New Roman"/>
          <w:color w:val="000000"/>
          <w:szCs w:val="21"/>
        </w:rPr>
        <w:t xml:space="preserve">s, étant entendu que l’exercice par les Etats de leur droit souverain de promulguer et d’appliquer des mesures relatives aux migrations et à la sécurité aux frontières, ne les exonère pas d’honorer les obligations qui leur incombent en vertu du droit international. </w:t>
      </w:r>
    </w:p>
    <w:p w:rsidR="00452A2C" w:rsidRPr="00DC2024" w:rsidRDefault="00452A2C" w:rsidP="00452A2C">
      <w:pPr>
        <w:pStyle w:val="Paragraphedeliste"/>
        <w:numPr>
          <w:ilvl w:val="0"/>
          <w:numId w:val="15"/>
        </w:numPr>
        <w:spacing w:after="100" w:line="240" w:lineRule="auto"/>
        <w:ind w:left="360"/>
        <w:jc w:val="both"/>
        <w:rPr>
          <w:color w:val="000000"/>
          <w:szCs w:val="21"/>
          <w:shd w:val="clear" w:color="auto" w:fill="FFFFFF"/>
          <w:lang w:val="fr-CH"/>
        </w:rPr>
      </w:pPr>
      <w:r w:rsidRPr="00563C74">
        <w:rPr>
          <w:rFonts w:eastAsia="Times New Roman"/>
          <w:color w:val="000000"/>
          <w:szCs w:val="21"/>
        </w:rPr>
        <w:t xml:space="preserve">Il est impératif d’adopter une approche globale et intégrée basée sur le droit des politiques migratoires et de coopérer au niveau régional et international dans un esprit de responsabilité partagée, en offrant des alternatives crédibles et sécurisées, notamment par </w:t>
      </w:r>
      <w:r w:rsidRPr="00563C74">
        <w:rPr>
          <w:color w:val="000000"/>
          <w:szCs w:val="21"/>
          <w:shd w:val="clear" w:color="auto" w:fill="FFFFFF"/>
        </w:rPr>
        <w:t>d</w:t>
      </w:r>
      <w:r w:rsidRPr="00563C74">
        <w:rPr>
          <w:color w:val="000000"/>
          <w:szCs w:val="21"/>
          <w:shd w:val="clear" w:color="auto" w:fill="FFFFFF"/>
          <w:lang w:val="fr-CH"/>
        </w:rPr>
        <w:t xml:space="preserve">es voies légales de migration, </w:t>
      </w:r>
      <w:r>
        <w:rPr>
          <w:color w:val="000000"/>
          <w:szCs w:val="21"/>
          <w:shd w:val="clear" w:color="auto" w:fill="FFFFFF"/>
          <w:lang w:val="fr-CH"/>
        </w:rPr>
        <w:t xml:space="preserve">qui </w:t>
      </w:r>
      <w:r w:rsidRPr="00563C74">
        <w:rPr>
          <w:color w:val="000000"/>
          <w:szCs w:val="21"/>
          <w:shd w:val="clear" w:color="auto" w:fill="FFFFFF"/>
          <w:lang w:val="fr-CH"/>
        </w:rPr>
        <w:t>permettront de limiter la vulnérabilité des personnes en mouvement, d’éviter des déplacements périlleux et partant des drames humains, et de sauvegarder les droits et l’intérêt supérieur de l’enfant à la recherche de refuge.</w:t>
      </w:r>
    </w:p>
    <w:p w:rsidR="000044DB" w:rsidRPr="009332E6" w:rsidRDefault="00452A2C" w:rsidP="00EA7192">
      <w:pPr>
        <w:pStyle w:val="Paragraphedeliste"/>
        <w:numPr>
          <w:ilvl w:val="0"/>
          <w:numId w:val="15"/>
        </w:numPr>
        <w:spacing w:after="600" w:line="240" w:lineRule="auto"/>
        <w:ind w:left="357" w:hanging="357"/>
        <w:jc w:val="both"/>
        <w:rPr>
          <w:color w:val="000000"/>
          <w:szCs w:val="21"/>
          <w:shd w:val="clear" w:color="auto" w:fill="FFFFFF"/>
          <w:lang w:val="fr-CH"/>
        </w:rPr>
      </w:pPr>
      <w:r w:rsidRPr="00AE5F30">
        <w:rPr>
          <w:color w:val="000000"/>
          <w:szCs w:val="21"/>
          <w:lang w:val="fr-CH"/>
        </w:rPr>
        <w:t>La lutte contre les réseaux criminels des trafiquants de migrants devrait être inscrite comme priorité dans l’agenda international, y compris pour lutter co</w:t>
      </w:r>
      <w:r>
        <w:rPr>
          <w:color w:val="000000"/>
          <w:szCs w:val="21"/>
          <w:lang w:val="fr-CH"/>
        </w:rPr>
        <w:t xml:space="preserve">ntre des processus migratoires non planifiés, conformément à la </w:t>
      </w:r>
      <w:r w:rsidRPr="00AE5F30">
        <w:rPr>
          <w:color w:val="000000"/>
          <w:szCs w:val="21"/>
          <w:lang w:val="fr-CH"/>
        </w:rPr>
        <w:t>Convention des Nations Unies contre la criminalité transnationale organisée de 2000 et ses deux Protocoles additionnels visant à prévenir, réprimer et punir la traite des personnes, en particulier des femmes et des enfants, et à lutter contre le trafic illicite de migrants par terre, mer et air</w:t>
      </w:r>
      <w:r>
        <w:rPr>
          <w:color w:val="000000"/>
          <w:szCs w:val="21"/>
          <w:lang w:val="fr-CH"/>
        </w:rPr>
        <w:t>.</w:t>
      </w:r>
    </w:p>
    <w:sectPr w:rsidR="000044DB" w:rsidRPr="009332E6" w:rsidSect="00876776">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790" w:rsidRDefault="00921790" w:rsidP="00F6444A">
      <w:pPr>
        <w:spacing w:after="0" w:line="240" w:lineRule="auto"/>
      </w:pPr>
      <w:r>
        <w:separator/>
      </w:r>
    </w:p>
  </w:endnote>
  <w:endnote w:type="continuationSeparator" w:id="0">
    <w:p w:rsidR="00921790" w:rsidRDefault="00921790" w:rsidP="00F6444A">
      <w:pPr>
        <w:spacing w:after="0" w:line="240" w:lineRule="auto"/>
      </w:pPr>
      <w:r>
        <w:continuationSeparator/>
      </w:r>
    </w:p>
  </w:endnote>
  <w:endnote w:id="1">
    <w:p w:rsidR="00452A2C" w:rsidRPr="00DF51DE" w:rsidRDefault="00452A2C" w:rsidP="00452A2C">
      <w:pPr>
        <w:pStyle w:val="Notedefin"/>
        <w:spacing w:after="0"/>
        <w:rPr>
          <w:sz w:val="16"/>
          <w:szCs w:val="16"/>
          <w:lang w:val="fr-CH"/>
        </w:rPr>
      </w:pPr>
      <w:r w:rsidRPr="00DF51DE">
        <w:rPr>
          <w:rStyle w:val="Appeldenotedefin"/>
          <w:sz w:val="16"/>
          <w:szCs w:val="16"/>
        </w:rPr>
        <w:endnoteRef/>
      </w:r>
      <w:r w:rsidRPr="00DF51DE">
        <w:rPr>
          <w:sz w:val="16"/>
          <w:szCs w:val="16"/>
          <w:lang w:val="fr-CH"/>
        </w:rPr>
        <w:t xml:space="preserve"> </w:t>
      </w:r>
      <w:r w:rsidRPr="00DF51DE">
        <w:rPr>
          <w:color w:val="000000"/>
          <w:sz w:val="16"/>
          <w:szCs w:val="16"/>
          <w:lang w:val="fr-CH"/>
        </w:rPr>
        <w:t xml:space="preserve">Données du </w:t>
      </w:r>
      <w:hyperlink r:id="rId1" w:history="1">
        <w:r w:rsidRPr="00695A63">
          <w:rPr>
            <w:rStyle w:val="Lienhypertexte"/>
            <w:sz w:val="16"/>
            <w:szCs w:val="16"/>
            <w:lang w:val="fr-CH"/>
          </w:rPr>
          <w:t>H</w:t>
        </w:r>
        <w:r>
          <w:rPr>
            <w:rStyle w:val="Lienhypertexte"/>
            <w:sz w:val="16"/>
            <w:szCs w:val="16"/>
            <w:lang w:val="fr-CH"/>
          </w:rPr>
          <w:t>aut-Commissariat des Nations Unies pour les réfugiés (HCR</w:t>
        </w:r>
      </w:hyperlink>
      <w:r>
        <w:rPr>
          <w:color w:val="0000FF"/>
          <w:sz w:val="16"/>
          <w:szCs w:val="16"/>
          <w:lang w:val="fr-CH"/>
        </w:rPr>
        <w:t>)</w:t>
      </w:r>
      <w:r w:rsidRPr="00DF51DE">
        <w:rPr>
          <w:color w:val="000000"/>
          <w:sz w:val="16"/>
          <w:szCs w:val="16"/>
          <w:lang w:val="fr-CH"/>
        </w:rPr>
        <w:t>, septembre 2015.</w:t>
      </w:r>
    </w:p>
  </w:endnote>
  <w:endnote w:id="2">
    <w:p w:rsidR="00452A2C" w:rsidRPr="00DF51DE" w:rsidRDefault="00452A2C" w:rsidP="00452A2C">
      <w:pPr>
        <w:pStyle w:val="Paragraphedeliste"/>
        <w:spacing w:after="0"/>
        <w:ind w:left="0"/>
        <w:rPr>
          <w:color w:val="000000"/>
          <w:sz w:val="16"/>
          <w:szCs w:val="16"/>
          <w:shd w:val="clear" w:color="auto" w:fill="FFFFFF"/>
          <w:lang w:val="fr-CH"/>
        </w:rPr>
      </w:pPr>
      <w:r w:rsidRPr="00DF51DE">
        <w:rPr>
          <w:rStyle w:val="Appeldenotedefin"/>
          <w:sz w:val="16"/>
          <w:szCs w:val="16"/>
        </w:rPr>
        <w:endnoteRef/>
      </w:r>
      <w:r w:rsidRPr="00DF51DE">
        <w:rPr>
          <w:sz w:val="16"/>
          <w:szCs w:val="16"/>
          <w:lang w:val="fr-CH"/>
        </w:rPr>
        <w:t xml:space="preserve"> Voir la partie « </w:t>
      </w:r>
      <w:r w:rsidRPr="00DF51DE">
        <w:rPr>
          <w:color w:val="000000"/>
          <w:sz w:val="16"/>
          <w:szCs w:val="16"/>
          <w:shd w:val="clear" w:color="auto" w:fill="FFFFFF"/>
          <w:lang w:val="fr-CH"/>
        </w:rPr>
        <w:t>Vers une coopération internationale renforc</w:t>
      </w:r>
      <w:r>
        <w:rPr>
          <w:color w:val="000000"/>
          <w:sz w:val="16"/>
          <w:szCs w:val="16"/>
          <w:shd w:val="clear" w:color="auto" w:fill="FFFFFF"/>
          <w:lang w:val="fr-CH"/>
        </w:rPr>
        <w:t>ée » de la présente déclaration, point 9.</w:t>
      </w:r>
    </w:p>
  </w:endnote>
  <w:endnote w:id="3">
    <w:p w:rsidR="00452A2C" w:rsidRPr="005312D4" w:rsidRDefault="00452A2C" w:rsidP="00452A2C">
      <w:pPr>
        <w:pStyle w:val="Notedefin"/>
        <w:spacing w:after="0"/>
        <w:rPr>
          <w:sz w:val="16"/>
          <w:szCs w:val="16"/>
          <w:lang w:val="fr-CH"/>
        </w:rPr>
      </w:pPr>
      <w:r w:rsidRPr="00DF51DE">
        <w:rPr>
          <w:rStyle w:val="Appeldenotedefin"/>
          <w:sz w:val="16"/>
          <w:szCs w:val="16"/>
        </w:rPr>
        <w:endnoteRef/>
      </w:r>
      <w:r w:rsidRPr="00DF51DE">
        <w:rPr>
          <w:sz w:val="16"/>
          <w:szCs w:val="16"/>
          <w:lang w:val="fr-CH"/>
        </w:rPr>
        <w:t xml:space="preserve"> Voir en annexe la liste des organisations signataires.</w:t>
      </w:r>
    </w:p>
  </w:endnote>
  <w:endnote w:id="4">
    <w:p w:rsidR="00452A2C" w:rsidRPr="005312D4" w:rsidRDefault="00452A2C" w:rsidP="00452A2C">
      <w:pPr>
        <w:pStyle w:val="Paragraphedeliste"/>
        <w:spacing w:after="0"/>
        <w:ind w:left="0"/>
        <w:rPr>
          <w:color w:val="000000"/>
          <w:sz w:val="16"/>
          <w:szCs w:val="16"/>
          <w:lang w:val="fr-CH"/>
        </w:rPr>
      </w:pPr>
      <w:r w:rsidRPr="005312D4">
        <w:rPr>
          <w:rStyle w:val="Appeldenotedefin"/>
          <w:sz w:val="16"/>
          <w:szCs w:val="16"/>
        </w:rPr>
        <w:endnoteRef/>
      </w:r>
      <w:r w:rsidRPr="005312D4">
        <w:rPr>
          <w:sz w:val="16"/>
          <w:szCs w:val="16"/>
          <w:lang w:val="fr-CH"/>
        </w:rPr>
        <w:t xml:space="preserve"> </w:t>
      </w:r>
      <w:r>
        <w:rPr>
          <w:color w:val="000000"/>
          <w:sz w:val="16"/>
          <w:szCs w:val="16"/>
          <w:lang w:val="fr-CH"/>
        </w:rPr>
        <w:t>Conformément à l’article 1.</w:t>
      </w:r>
      <w:r w:rsidRPr="005312D4">
        <w:rPr>
          <w:color w:val="000000"/>
          <w:sz w:val="16"/>
          <w:szCs w:val="16"/>
          <w:lang w:val="fr-CH"/>
        </w:rPr>
        <w:t>2 de la Convention relative au statut des réfugiés de 1951, un refugié s’entend d’une personne « </w:t>
      </w:r>
      <w:r w:rsidRPr="00922AB8">
        <w:rPr>
          <w:i/>
          <w:color w:val="000000"/>
          <w:sz w:val="16"/>
          <w:szCs w:val="16"/>
          <w:lang w:val="fr-CH"/>
        </w:rPr>
        <w:t>qui, craignant avec raison d’être persécutée du fait de sa race, de sa religion, de sa nationalité, de son appartenance à un certain groupe social ou de ses opinions politiques, se trouve hors du pays dont elle a la nationalité et qui ne peut ou, du fait de cette crainte, ne veut se réclamer de la protection de ce pays ; ou qui, si elle n’a pas de nationalité et se trouve hors du pays dans lequel elle avait sa résidence habituelle à la suite de tels événements, ne peut ou, en raison de ladite crainte, ne veut y retourner</w:t>
      </w:r>
      <w:r w:rsidRPr="005312D4">
        <w:rPr>
          <w:color w:val="000000"/>
          <w:sz w:val="16"/>
          <w:szCs w:val="16"/>
          <w:lang w:val="fr-CH"/>
        </w:rPr>
        <w:t> »</w:t>
      </w:r>
      <w:r>
        <w:rPr>
          <w:color w:val="000000"/>
          <w:sz w:val="16"/>
          <w:szCs w:val="16"/>
          <w:lang w:val="fr-CH"/>
        </w:rPr>
        <w:t>.</w:t>
      </w:r>
      <w:r w:rsidRPr="005312D4">
        <w:rPr>
          <w:color w:val="000000"/>
          <w:sz w:val="16"/>
          <w:szCs w:val="16"/>
          <w:lang w:val="fr-CH"/>
        </w:rPr>
        <w:t xml:space="preserve"> Un demandeur ou requérant d’asile est une personne à la recherche d’une protection internationale au moyen du statut de refugié pour lequel il a fait une demande. Un migrant est une personne qui, volontairement ou de manière forcée, se déplace d’un pays à un autre pour diverses raisons, notamment politiques, économiques, culturelles ou écologiques. Un migrant peut acquérir le statut de refugié après instruction favorable de sa demande d’asile suivant les lois nationales en conformité avec le</w:t>
      </w:r>
      <w:r>
        <w:rPr>
          <w:color w:val="000000"/>
          <w:sz w:val="16"/>
          <w:szCs w:val="16"/>
          <w:lang w:val="fr-CH"/>
        </w:rPr>
        <w:t xml:space="preserve"> droit international pertinent.</w:t>
      </w:r>
    </w:p>
  </w:endnote>
  <w:endnote w:id="5">
    <w:p w:rsidR="00452A2C" w:rsidRPr="005312D4" w:rsidRDefault="00452A2C" w:rsidP="00452A2C">
      <w:pPr>
        <w:pStyle w:val="Notedefin"/>
        <w:spacing w:after="0"/>
        <w:rPr>
          <w:sz w:val="16"/>
          <w:szCs w:val="16"/>
          <w:lang w:val="fr-CH"/>
        </w:rPr>
      </w:pPr>
      <w:r w:rsidRPr="005312D4">
        <w:rPr>
          <w:rStyle w:val="Appeldenotedefin"/>
          <w:sz w:val="16"/>
          <w:szCs w:val="16"/>
        </w:rPr>
        <w:endnoteRef/>
      </w:r>
      <w:r w:rsidRPr="005312D4">
        <w:rPr>
          <w:sz w:val="16"/>
          <w:szCs w:val="16"/>
          <w:lang w:val="fr-CH"/>
        </w:rPr>
        <w:t xml:space="preserve"> </w:t>
      </w:r>
      <w:hyperlink r:id="rId2" w:history="1">
        <w:r w:rsidRPr="006F018A">
          <w:rPr>
            <w:rStyle w:val="Lienhypertexte"/>
            <w:sz w:val="16"/>
            <w:szCs w:val="16"/>
            <w:lang w:val="fr-CH"/>
          </w:rPr>
          <w:t>CRC/GC/2005/6</w:t>
        </w:r>
      </w:hyperlink>
      <w:r w:rsidRPr="005312D4">
        <w:rPr>
          <w:color w:val="000000"/>
          <w:sz w:val="16"/>
          <w:szCs w:val="16"/>
          <w:lang w:val="fr-CH"/>
        </w:rPr>
        <w:t xml:space="preserve"> (2005), Observation générale n°6 du Comité des droit</w:t>
      </w:r>
      <w:r>
        <w:rPr>
          <w:color w:val="000000"/>
          <w:sz w:val="16"/>
          <w:szCs w:val="16"/>
          <w:lang w:val="fr-CH"/>
        </w:rPr>
        <w:t>s de l’enfant de l’ONU sur le « </w:t>
      </w:r>
      <w:r w:rsidRPr="005312D4">
        <w:rPr>
          <w:color w:val="000000"/>
          <w:sz w:val="16"/>
          <w:szCs w:val="16"/>
          <w:lang w:val="fr-CH"/>
        </w:rPr>
        <w:t xml:space="preserve">traitement des enfants non accompagnés et des enfants séparés en </w:t>
      </w:r>
      <w:r>
        <w:rPr>
          <w:color w:val="000000"/>
          <w:sz w:val="16"/>
          <w:szCs w:val="16"/>
          <w:lang w:val="fr-CH"/>
        </w:rPr>
        <w:t>dehors de leur pays d’origine ».</w:t>
      </w:r>
    </w:p>
  </w:endnote>
  <w:endnote w:id="6">
    <w:p w:rsidR="00452A2C" w:rsidRPr="005312D4" w:rsidRDefault="00452A2C" w:rsidP="00452A2C">
      <w:pPr>
        <w:pStyle w:val="NormalWeb"/>
        <w:shd w:val="clear" w:color="auto" w:fill="FFFFFF"/>
        <w:spacing w:before="0" w:beforeAutospacing="0" w:after="0" w:afterAutospacing="0"/>
        <w:rPr>
          <w:rFonts w:ascii="Calibri" w:hAnsi="Calibri"/>
          <w:color w:val="000000"/>
          <w:sz w:val="16"/>
          <w:szCs w:val="16"/>
          <w:lang w:val="fr-CH"/>
        </w:rPr>
      </w:pPr>
      <w:r w:rsidRPr="005312D4">
        <w:rPr>
          <w:rStyle w:val="Appeldenotedefin"/>
          <w:rFonts w:ascii="Calibri" w:hAnsi="Calibri"/>
          <w:sz w:val="16"/>
          <w:szCs w:val="16"/>
        </w:rPr>
        <w:endnoteRef/>
      </w:r>
      <w:r>
        <w:rPr>
          <w:rFonts w:ascii="Calibri" w:hAnsi="Calibri"/>
          <w:color w:val="000000"/>
          <w:sz w:val="16"/>
          <w:szCs w:val="16"/>
          <w:lang w:val="fr-CH"/>
        </w:rPr>
        <w:t xml:space="preserve"> Article 22.</w:t>
      </w:r>
      <w:r w:rsidRPr="005312D4">
        <w:rPr>
          <w:rFonts w:ascii="Calibri" w:hAnsi="Calibri"/>
          <w:color w:val="000000"/>
          <w:sz w:val="16"/>
          <w:szCs w:val="16"/>
          <w:lang w:val="fr-CH"/>
        </w:rPr>
        <w:t xml:space="preserve">1 </w:t>
      </w:r>
      <w:r>
        <w:rPr>
          <w:rFonts w:ascii="Calibri" w:hAnsi="Calibri"/>
          <w:color w:val="000000"/>
          <w:sz w:val="16"/>
          <w:szCs w:val="16"/>
          <w:lang w:val="fr-CH"/>
        </w:rPr>
        <w:t xml:space="preserve">et 22.2 </w:t>
      </w:r>
      <w:r w:rsidRPr="005312D4">
        <w:rPr>
          <w:rFonts w:ascii="Calibri" w:hAnsi="Calibri"/>
          <w:color w:val="000000"/>
          <w:sz w:val="16"/>
          <w:szCs w:val="16"/>
          <w:lang w:val="fr-CH"/>
        </w:rPr>
        <w:t>de la Convention relatives aux droits d</w:t>
      </w:r>
      <w:r>
        <w:rPr>
          <w:rFonts w:ascii="Calibri" w:hAnsi="Calibri"/>
          <w:color w:val="000000"/>
          <w:sz w:val="16"/>
          <w:szCs w:val="16"/>
          <w:lang w:val="fr-CH"/>
        </w:rPr>
        <w:t xml:space="preserve">e l’enfant des Nations Unies : </w:t>
      </w:r>
      <w:r w:rsidRPr="005312D4">
        <w:rPr>
          <w:rFonts w:ascii="Calibri" w:hAnsi="Calibri"/>
          <w:color w:val="000000"/>
          <w:sz w:val="16"/>
          <w:szCs w:val="16"/>
          <w:lang w:val="fr-CH"/>
        </w:rPr>
        <w:t xml:space="preserve">« 1. </w:t>
      </w:r>
      <w:r w:rsidRPr="00922AB8">
        <w:rPr>
          <w:rFonts w:ascii="Calibri" w:hAnsi="Calibri"/>
          <w:i/>
          <w:color w:val="000000"/>
          <w:sz w:val="16"/>
          <w:szCs w:val="16"/>
          <w:lang w:val="fr-CH"/>
        </w:rPr>
        <w:t>Les Etats parties prennent les mesures appropriées pour qu’un enfant qui cherche à obtenir le statut de réfugié ou qui est considéré comme réfugié en vertu des règles et procédures du droit international ou national applicable, qu’il soit seul ou accompagné de ses père et mère ou de toute autre personne, bénéficie de la protection et de l’assistance humanitaire voulues pour lui permettre de jouir des droits que lui reconnaissent la présente Convention et les autres instruments internationaux relatifs aux droits de l'homme ou de caractère humanitaire auxquels lesdits Etats sont parties. 2. A cette fin, les Etats parties collaborent, selon qu'ils le jugent nécessaire, à tous les efforts faits par l'Organisation des Nations Unies et les autres organisations intergouvernementales ou non gouvernementales compétentes collaborant avec l'Organisation des Nations Unies pour protéger et aider les enfants qui se trouvent en pareille situation et pour rechercher les père et mère ou autres membres de la famille de tout enfant réfugié en vue d'obtenir les renseignements nécessaires pour le réunir à sa famille. Lorsque ni le père, ni la mère, ni aucun autre membre de la famille ne peut être retrouvé, l'enfant se voit accorder, selon les principes énoncés dans la présente Convention, la même protection que tout autre enfant définitivement ou temporairement privé de son milieu familial pour quelque raison que ce soit</w:t>
      </w:r>
      <w:r>
        <w:rPr>
          <w:rFonts w:ascii="Calibri" w:hAnsi="Calibri"/>
          <w:color w:val="000000"/>
          <w:sz w:val="16"/>
          <w:szCs w:val="16"/>
          <w:lang w:val="fr-CH"/>
        </w:rPr>
        <w:t xml:space="preserve"> ». </w:t>
      </w:r>
    </w:p>
  </w:endnote>
  <w:endnote w:id="7">
    <w:p w:rsidR="00452A2C" w:rsidRPr="005312D4" w:rsidRDefault="00452A2C" w:rsidP="00452A2C">
      <w:pPr>
        <w:pStyle w:val="Notedefin"/>
        <w:spacing w:after="0"/>
        <w:rPr>
          <w:sz w:val="16"/>
          <w:szCs w:val="16"/>
          <w:lang w:val="fr-CH"/>
        </w:rPr>
      </w:pPr>
      <w:r w:rsidRPr="005312D4">
        <w:rPr>
          <w:rStyle w:val="Appeldenotedefin"/>
          <w:sz w:val="16"/>
          <w:szCs w:val="16"/>
        </w:rPr>
        <w:endnoteRef/>
      </w:r>
      <w:r w:rsidRPr="005312D4">
        <w:rPr>
          <w:sz w:val="16"/>
          <w:szCs w:val="16"/>
          <w:lang w:val="fr-CH"/>
        </w:rPr>
        <w:t xml:space="preserve"> La liste des traités internationaux pertinents n</w:t>
      </w:r>
      <w:r>
        <w:rPr>
          <w:sz w:val="16"/>
          <w:szCs w:val="16"/>
          <w:lang w:val="fr-CH"/>
        </w:rPr>
        <w:t>’est pas exhaustive. On peut</w:t>
      </w:r>
      <w:r w:rsidRPr="005312D4">
        <w:rPr>
          <w:sz w:val="16"/>
          <w:szCs w:val="16"/>
          <w:lang w:val="fr-CH"/>
        </w:rPr>
        <w:t xml:space="preserve"> </w:t>
      </w:r>
      <w:r>
        <w:rPr>
          <w:sz w:val="16"/>
          <w:szCs w:val="16"/>
          <w:lang w:val="fr-CH"/>
        </w:rPr>
        <w:t xml:space="preserve">également citer, </w:t>
      </w:r>
      <w:r w:rsidRPr="005312D4">
        <w:rPr>
          <w:sz w:val="16"/>
          <w:szCs w:val="16"/>
          <w:lang w:val="fr-CH"/>
        </w:rPr>
        <w:t>dans</w:t>
      </w:r>
      <w:r>
        <w:rPr>
          <w:sz w:val="16"/>
          <w:szCs w:val="16"/>
          <w:lang w:val="fr-CH"/>
        </w:rPr>
        <w:t xml:space="preserve"> le cadre de l’Organisation I</w:t>
      </w:r>
      <w:r w:rsidRPr="005312D4">
        <w:rPr>
          <w:sz w:val="16"/>
          <w:szCs w:val="16"/>
          <w:lang w:val="fr-CH"/>
        </w:rPr>
        <w:t>nternationale du Travail, la Convention n°97 sur les travailleurs migrants (révisée) de 1949 et la Convention n°143 sur les travailleurs migrants (dispositions complémentaires) de 1975.</w:t>
      </w:r>
    </w:p>
  </w:endnote>
  <w:endnote w:id="8">
    <w:p w:rsidR="00452A2C" w:rsidRPr="005312D4" w:rsidRDefault="00452A2C" w:rsidP="00452A2C">
      <w:pPr>
        <w:pStyle w:val="Notedefin"/>
        <w:spacing w:after="0"/>
        <w:rPr>
          <w:sz w:val="16"/>
          <w:szCs w:val="16"/>
          <w:lang w:val="fr-CH"/>
        </w:rPr>
      </w:pPr>
      <w:r w:rsidRPr="005312D4">
        <w:rPr>
          <w:rStyle w:val="Appeldenotedefin"/>
          <w:sz w:val="16"/>
          <w:szCs w:val="16"/>
        </w:rPr>
        <w:endnoteRef/>
      </w:r>
      <w:r w:rsidRPr="005312D4">
        <w:rPr>
          <w:sz w:val="16"/>
          <w:szCs w:val="16"/>
          <w:lang w:val="fr-CH"/>
        </w:rPr>
        <w:t xml:space="preserve"> Dialogue renforcé sur le thème des droits de l'homme des migrants organisé le 15 juin 2015 lors de la 29</w:t>
      </w:r>
      <w:r w:rsidRPr="005312D4">
        <w:rPr>
          <w:sz w:val="16"/>
          <w:szCs w:val="16"/>
          <w:vertAlign w:val="superscript"/>
          <w:lang w:val="fr-CH"/>
        </w:rPr>
        <w:t>e</w:t>
      </w:r>
      <w:r w:rsidRPr="005312D4">
        <w:rPr>
          <w:sz w:val="16"/>
          <w:szCs w:val="16"/>
          <w:lang w:val="fr-CH"/>
        </w:rPr>
        <w:t xml:space="preserve"> session du Conseil des droits de l’homme. Plusieurs interventions du Haut-Commissaire des Nations Unies aux Droits de l’Homme disponibles sur le site </w:t>
      </w:r>
      <w:hyperlink r:id="rId3" w:history="1">
        <w:r w:rsidRPr="005312D4">
          <w:rPr>
            <w:rStyle w:val="Lienhypertexte"/>
            <w:sz w:val="16"/>
            <w:szCs w:val="16"/>
            <w:lang w:val="fr-CH"/>
          </w:rPr>
          <w:t>www.ohchr.org</w:t>
        </w:r>
      </w:hyperlink>
      <w:r w:rsidRPr="005312D4">
        <w:rPr>
          <w:sz w:val="16"/>
          <w:szCs w:val="16"/>
          <w:lang w:val="fr-CH"/>
        </w:rPr>
        <w:t xml:space="preserve"> portent sur le sujet. Voir aussi les résolutions suivantes du Conseil des droits de l’homme de l’ONU : </w:t>
      </w:r>
      <w:hyperlink r:id="rId4" w:history="1">
        <w:r w:rsidRPr="005312D4">
          <w:rPr>
            <w:rStyle w:val="Lienhypertexte"/>
            <w:sz w:val="16"/>
            <w:szCs w:val="16"/>
            <w:lang w:val="fr-CH"/>
          </w:rPr>
          <w:t>A/HRC/29/2</w:t>
        </w:r>
      </w:hyperlink>
      <w:r w:rsidRPr="005312D4">
        <w:rPr>
          <w:sz w:val="16"/>
          <w:szCs w:val="16"/>
          <w:lang w:val="fr-CH"/>
        </w:rPr>
        <w:t xml:space="preserve"> (2015) et </w:t>
      </w:r>
      <w:hyperlink r:id="rId5" w:history="1">
        <w:r w:rsidRPr="005312D4">
          <w:rPr>
            <w:rStyle w:val="Lienhypertexte"/>
            <w:sz w:val="16"/>
            <w:szCs w:val="16"/>
            <w:lang w:val="fr-CH"/>
          </w:rPr>
          <w:t>A/HRC/29/12</w:t>
        </w:r>
      </w:hyperlink>
      <w:r w:rsidRPr="005312D4">
        <w:rPr>
          <w:sz w:val="16"/>
          <w:szCs w:val="16"/>
          <w:lang w:val="fr-CH"/>
        </w:rPr>
        <w:t xml:space="preserve"> (2015).</w:t>
      </w:r>
    </w:p>
  </w:endnote>
  <w:endnote w:id="9">
    <w:p w:rsidR="00452A2C" w:rsidRPr="005312D4" w:rsidRDefault="00452A2C" w:rsidP="00452A2C">
      <w:pPr>
        <w:pStyle w:val="Notedefin"/>
        <w:spacing w:after="0"/>
        <w:rPr>
          <w:sz w:val="16"/>
          <w:szCs w:val="16"/>
          <w:lang w:val="fr-CH"/>
        </w:rPr>
      </w:pPr>
      <w:r w:rsidRPr="005312D4">
        <w:rPr>
          <w:rStyle w:val="Appeldenotedefin"/>
          <w:sz w:val="16"/>
          <w:szCs w:val="16"/>
        </w:rPr>
        <w:endnoteRef/>
      </w:r>
      <w:r w:rsidRPr="005312D4">
        <w:rPr>
          <w:sz w:val="16"/>
          <w:szCs w:val="16"/>
          <w:lang w:val="fr-CH"/>
        </w:rPr>
        <w:t xml:space="preserve"> </w:t>
      </w:r>
      <w:hyperlink r:id="rId6" w:history="1">
        <w:r w:rsidRPr="005312D4">
          <w:rPr>
            <w:rStyle w:val="Lienhypertexte"/>
            <w:sz w:val="16"/>
            <w:szCs w:val="16"/>
            <w:lang w:val="fr-CH"/>
          </w:rPr>
          <w:t>Communiqué</w:t>
        </w:r>
      </w:hyperlink>
      <w:r w:rsidRPr="005312D4">
        <w:rPr>
          <w:sz w:val="16"/>
          <w:szCs w:val="16"/>
          <w:lang w:val="fr-CH"/>
        </w:rPr>
        <w:t xml:space="preserve"> du 9 septembre 2015 du Comité des travailleurs migrants de l’ONU.</w:t>
      </w:r>
    </w:p>
  </w:endnote>
  <w:endnote w:id="10">
    <w:p w:rsidR="00452A2C" w:rsidRPr="005312D4" w:rsidRDefault="00452A2C" w:rsidP="00452A2C">
      <w:pPr>
        <w:pStyle w:val="Notedefin"/>
        <w:spacing w:after="0"/>
        <w:rPr>
          <w:sz w:val="16"/>
          <w:szCs w:val="16"/>
          <w:lang w:val="fr-CH"/>
        </w:rPr>
      </w:pPr>
      <w:r w:rsidRPr="005312D4">
        <w:rPr>
          <w:rStyle w:val="Appeldenotedefin"/>
          <w:sz w:val="16"/>
          <w:szCs w:val="16"/>
        </w:rPr>
        <w:endnoteRef/>
      </w:r>
      <w:r w:rsidRPr="005312D4">
        <w:rPr>
          <w:sz w:val="16"/>
          <w:szCs w:val="16"/>
          <w:lang w:val="fr-CH"/>
        </w:rPr>
        <w:t xml:space="preserve"> </w:t>
      </w:r>
      <w:hyperlink r:id="rId7" w:history="1">
        <w:r w:rsidRPr="005312D4">
          <w:rPr>
            <w:rStyle w:val="Lienhypertexte"/>
            <w:sz w:val="16"/>
            <w:szCs w:val="16"/>
            <w:lang w:val="fr-CH"/>
          </w:rPr>
          <w:t>Communiqué</w:t>
        </w:r>
      </w:hyperlink>
      <w:r w:rsidRPr="005312D4">
        <w:rPr>
          <w:sz w:val="16"/>
          <w:szCs w:val="16"/>
          <w:lang w:val="fr-CH"/>
        </w:rPr>
        <w:t xml:space="preserve"> du 11 septembre 2015 du Comité des droits de l’enfant de l’ONU.</w:t>
      </w:r>
    </w:p>
  </w:endnote>
  <w:endnote w:id="11">
    <w:p w:rsidR="00452A2C" w:rsidRPr="005312D4" w:rsidRDefault="00452A2C" w:rsidP="00452A2C">
      <w:pPr>
        <w:pStyle w:val="Notedefin"/>
        <w:spacing w:after="0"/>
        <w:rPr>
          <w:sz w:val="16"/>
          <w:szCs w:val="16"/>
          <w:lang w:val="fr-CH"/>
        </w:rPr>
      </w:pPr>
      <w:r w:rsidRPr="005312D4">
        <w:rPr>
          <w:rStyle w:val="Appeldenotedefin"/>
          <w:sz w:val="16"/>
          <w:szCs w:val="16"/>
        </w:rPr>
        <w:endnoteRef/>
      </w:r>
      <w:r w:rsidRPr="005312D4">
        <w:rPr>
          <w:sz w:val="16"/>
          <w:szCs w:val="16"/>
          <w:lang w:val="fr-CH"/>
        </w:rPr>
        <w:t xml:space="preserve"> Récents rapports </w:t>
      </w:r>
      <w:hyperlink r:id="rId8" w:history="1">
        <w:r w:rsidRPr="005312D4">
          <w:rPr>
            <w:rStyle w:val="Lienhypertexte"/>
            <w:sz w:val="16"/>
            <w:szCs w:val="16"/>
            <w:lang w:val="fr-CH"/>
          </w:rPr>
          <w:t>A/HRC/29/36</w:t>
        </w:r>
      </w:hyperlink>
      <w:r w:rsidRPr="005312D4">
        <w:rPr>
          <w:sz w:val="16"/>
          <w:szCs w:val="16"/>
          <w:lang w:val="fr-CH"/>
        </w:rPr>
        <w:t xml:space="preserve"> (2015), </w:t>
      </w:r>
      <w:hyperlink r:id="rId9" w:history="1">
        <w:r w:rsidRPr="005312D4">
          <w:rPr>
            <w:rStyle w:val="Lienhypertexte"/>
            <w:sz w:val="16"/>
            <w:szCs w:val="16"/>
            <w:lang w:val="fr-CH"/>
          </w:rPr>
          <w:t>A/HRC/29/36/Add.2</w:t>
        </w:r>
      </w:hyperlink>
      <w:r w:rsidRPr="005312D4">
        <w:rPr>
          <w:sz w:val="16"/>
          <w:szCs w:val="16"/>
          <w:lang w:val="fr-CH"/>
        </w:rPr>
        <w:t xml:space="preserve"> (Italie, 2015) et </w:t>
      </w:r>
      <w:hyperlink r:id="rId10" w:history="1">
        <w:r w:rsidRPr="005312D4">
          <w:rPr>
            <w:rStyle w:val="Lienhypertexte"/>
            <w:sz w:val="16"/>
            <w:szCs w:val="16"/>
            <w:lang w:val="fr-CH"/>
          </w:rPr>
          <w:t>A/HRC/29/36/Add.3</w:t>
        </w:r>
      </w:hyperlink>
      <w:r w:rsidRPr="005312D4">
        <w:rPr>
          <w:sz w:val="16"/>
          <w:szCs w:val="16"/>
          <w:lang w:val="fr-CH"/>
        </w:rPr>
        <w:t xml:space="preserve"> (Malte, 2015).</w:t>
      </w:r>
    </w:p>
  </w:endnote>
  <w:endnote w:id="12">
    <w:p w:rsidR="00452A2C" w:rsidRPr="005312D4" w:rsidRDefault="00452A2C" w:rsidP="00452A2C">
      <w:pPr>
        <w:pStyle w:val="Notedefin"/>
        <w:spacing w:after="0"/>
        <w:rPr>
          <w:sz w:val="16"/>
          <w:szCs w:val="16"/>
          <w:lang w:val="fr-CH"/>
        </w:rPr>
      </w:pPr>
      <w:r w:rsidRPr="005312D4">
        <w:rPr>
          <w:rStyle w:val="Appeldenotedefin"/>
          <w:sz w:val="16"/>
          <w:szCs w:val="16"/>
        </w:rPr>
        <w:endnoteRef/>
      </w:r>
      <w:r w:rsidRPr="005312D4">
        <w:rPr>
          <w:sz w:val="16"/>
          <w:szCs w:val="16"/>
          <w:lang w:val="fr-CH"/>
        </w:rPr>
        <w:t xml:space="preserve"> Dans l’arrêt </w:t>
      </w:r>
      <w:hyperlink r:id="rId11" w:anchor="{&quot;itemid&quot;:[&quot;001-103293&quot;]}" w:history="1">
        <w:r w:rsidRPr="00C25804">
          <w:rPr>
            <w:rStyle w:val="Lienhypertexte"/>
            <w:i/>
            <w:sz w:val="16"/>
            <w:szCs w:val="16"/>
            <w:lang w:val="fr-CH"/>
          </w:rPr>
          <w:t>M.S.S. c. Belgique et Grèce</w:t>
        </w:r>
      </w:hyperlink>
      <w:r w:rsidRPr="00C25804">
        <w:rPr>
          <w:sz w:val="16"/>
          <w:szCs w:val="16"/>
          <w:lang w:val="fr-CH"/>
        </w:rPr>
        <w:t>,</w:t>
      </w:r>
      <w:r>
        <w:rPr>
          <w:color w:val="000000"/>
          <w:sz w:val="16"/>
          <w:szCs w:val="16"/>
          <w:lang w:val="fr-CH"/>
        </w:rPr>
        <w:t xml:space="preserve"> </w:t>
      </w:r>
      <w:r w:rsidRPr="00C25804">
        <w:rPr>
          <w:color w:val="000000"/>
          <w:sz w:val="16"/>
          <w:szCs w:val="16"/>
          <w:lang w:val="fr-CH"/>
        </w:rPr>
        <w:t>n°0696/09</w:t>
      </w:r>
      <w:r>
        <w:rPr>
          <w:sz w:val="16"/>
          <w:szCs w:val="16"/>
          <w:lang w:val="fr-CH"/>
        </w:rPr>
        <w:t xml:space="preserve">, </w:t>
      </w:r>
      <w:r w:rsidRPr="00C25804">
        <w:rPr>
          <w:sz w:val="16"/>
          <w:szCs w:val="16"/>
          <w:lang w:val="fr-CH"/>
        </w:rPr>
        <w:t>la Cour</w:t>
      </w:r>
      <w:r w:rsidRPr="005312D4">
        <w:rPr>
          <w:sz w:val="16"/>
          <w:szCs w:val="16"/>
          <w:lang w:val="fr-CH"/>
        </w:rPr>
        <w:t xml:space="preserve"> </w:t>
      </w:r>
      <w:r w:rsidRPr="005312D4">
        <w:rPr>
          <w:color w:val="000000"/>
          <w:sz w:val="16"/>
          <w:szCs w:val="16"/>
          <w:lang w:val="fr-CH"/>
        </w:rPr>
        <w:t>met à la charge de l’Etat qui renvoie le demandeur d’asile vers le pays d’entrée une obligation de vigilance et de diligence</w:t>
      </w:r>
      <w:r w:rsidRPr="005312D4">
        <w:rPr>
          <w:sz w:val="16"/>
          <w:szCs w:val="16"/>
          <w:lang w:val="fr-CH"/>
        </w:rPr>
        <w:t>. Elle estime qu’il revient au pays qui renvoie de ne pas se contenter de présumer que le requérant recevrait un traitement conforme aux exigences de la Convention mais au contraire de s’e</w:t>
      </w:r>
      <w:r>
        <w:rPr>
          <w:sz w:val="16"/>
          <w:szCs w:val="16"/>
          <w:lang w:val="fr-CH"/>
        </w:rPr>
        <w:t xml:space="preserve">nquérir, au préalable, </w:t>
      </w:r>
      <w:r w:rsidRPr="005312D4">
        <w:rPr>
          <w:sz w:val="16"/>
          <w:szCs w:val="16"/>
          <w:lang w:val="fr-CH"/>
        </w:rPr>
        <w:t>de la manière dont le pays vers lequel il est renvoy</w:t>
      </w:r>
      <w:r>
        <w:rPr>
          <w:sz w:val="16"/>
          <w:szCs w:val="16"/>
          <w:lang w:val="fr-CH"/>
        </w:rPr>
        <w:t xml:space="preserve">é appliquait la législation en </w:t>
      </w:r>
      <w:r w:rsidRPr="005312D4">
        <w:rPr>
          <w:sz w:val="16"/>
          <w:szCs w:val="16"/>
          <w:lang w:val="fr-CH"/>
        </w:rPr>
        <w:t>matière d’</w:t>
      </w:r>
      <w:r>
        <w:rPr>
          <w:sz w:val="16"/>
          <w:szCs w:val="16"/>
          <w:lang w:val="fr-CH"/>
        </w:rPr>
        <w:t xml:space="preserve">asile en pratique, § 358-359. Voir </w:t>
      </w:r>
      <w:r w:rsidRPr="005312D4">
        <w:rPr>
          <w:i/>
          <w:sz w:val="16"/>
          <w:szCs w:val="16"/>
          <w:lang w:val="fr-CH"/>
        </w:rPr>
        <w:t>Sharifi et autres c. Italie et Grèce</w:t>
      </w:r>
      <w:r>
        <w:rPr>
          <w:sz w:val="16"/>
          <w:szCs w:val="16"/>
          <w:lang w:val="fr-CH"/>
        </w:rPr>
        <w:t xml:space="preserve">, </w:t>
      </w:r>
      <w:r w:rsidRPr="005312D4">
        <w:rPr>
          <w:sz w:val="16"/>
          <w:szCs w:val="16"/>
          <w:lang w:val="fr-CH"/>
        </w:rPr>
        <w:t>21 octobre 2014.</w:t>
      </w:r>
    </w:p>
  </w:endnote>
  <w:endnote w:id="13">
    <w:p w:rsidR="00452A2C" w:rsidRPr="005312D4" w:rsidRDefault="00452A2C" w:rsidP="00452A2C">
      <w:pPr>
        <w:pStyle w:val="Notedefin"/>
        <w:spacing w:after="0"/>
        <w:rPr>
          <w:sz w:val="16"/>
          <w:szCs w:val="16"/>
          <w:lang w:val="fr-CH"/>
        </w:rPr>
      </w:pPr>
      <w:r w:rsidRPr="005312D4">
        <w:rPr>
          <w:rStyle w:val="Appeldenotedefin"/>
          <w:sz w:val="16"/>
          <w:szCs w:val="16"/>
        </w:rPr>
        <w:endnoteRef/>
      </w:r>
      <w:r w:rsidRPr="005312D4">
        <w:rPr>
          <w:sz w:val="16"/>
          <w:szCs w:val="16"/>
          <w:lang w:val="fr-CH"/>
        </w:rPr>
        <w:t xml:space="preserve"> </w:t>
      </w:r>
      <w:r w:rsidRPr="005312D4">
        <w:rPr>
          <w:color w:val="000000"/>
          <w:sz w:val="16"/>
          <w:szCs w:val="16"/>
          <w:lang w:val="fr-CH"/>
        </w:rPr>
        <w:t xml:space="preserve">Haut Commissariat aux Refugiés, statistiques arrêtées au 17 septembre 2015 pour la </w:t>
      </w:r>
      <w:hyperlink r:id="rId12" w:history="1">
        <w:r w:rsidRPr="00695A63">
          <w:rPr>
            <w:rStyle w:val="Lienhypertexte"/>
            <w:sz w:val="16"/>
            <w:szCs w:val="16"/>
            <w:lang w:val="fr-CH"/>
          </w:rPr>
          <w:t>Jordanie</w:t>
        </w:r>
      </w:hyperlink>
      <w:r w:rsidRPr="005312D4">
        <w:rPr>
          <w:color w:val="000000"/>
          <w:sz w:val="16"/>
          <w:szCs w:val="16"/>
          <w:lang w:val="fr-CH"/>
        </w:rPr>
        <w:t xml:space="preserve"> et la </w:t>
      </w:r>
      <w:hyperlink r:id="rId13" w:history="1">
        <w:r w:rsidRPr="00695A63">
          <w:rPr>
            <w:rStyle w:val="Lienhypertexte"/>
            <w:sz w:val="16"/>
            <w:szCs w:val="16"/>
            <w:lang w:val="fr-CH"/>
          </w:rPr>
          <w:t>Turquie</w:t>
        </w:r>
      </w:hyperlink>
      <w:r w:rsidRPr="005312D4">
        <w:rPr>
          <w:color w:val="000000"/>
          <w:sz w:val="16"/>
          <w:szCs w:val="16"/>
          <w:lang w:val="fr-CH"/>
        </w:rPr>
        <w:t xml:space="preserve"> et au 25 août 2015 pour le </w:t>
      </w:r>
      <w:hyperlink r:id="rId14" w:history="1">
        <w:r w:rsidRPr="00695A63">
          <w:rPr>
            <w:rStyle w:val="Lienhypertexte"/>
            <w:sz w:val="16"/>
            <w:szCs w:val="16"/>
            <w:lang w:val="fr-CH"/>
          </w:rPr>
          <w:t>Liban</w:t>
        </w:r>
      </w:hyperlink>
      <w:r w:rsidRPr="005312D4">
        <w:rPr>
          <w:color w:val="000000"/>
          <w:sz w:val="16"/>
          <w:szCs w:val="16"/>
          <w:lang w:val="fr-CH"/>
        </w:rPr>
        <w:t>.</w:t>
      </w:r>
    </w:p>
  </w:endnote>
  <w:endnote w:id="14">
    <w:p w:rsidR="00452A2C" w:rsidRPr="005312D4" w:rsidRDefault="00452A2C" w:rsidP="00452A2C">
      <w:pPr>
        <w:pStyle w:val="Notedefin"/>
        <w:spacing w:after="0"/>
        <w:rPr>
          <w:sz w:val="16"/>
          <w:szCs w:val="16"/>
          <w:lang w:val="fr-CH"/>
        </w:rPr>
      </w:pPr>
      <w:r w:rsidRPr="005312D4">
        <w:rPr>
          <w:rStyle w:val="Appeldenotedefin"/>
          <w:sz w:val="16"/>
          <w:szCs w:val="16"/>
        </w:rPr>
        <w:endnoteRef/>
      </w:r>
      <w:r w:rsidRPr="005312D4">
        <w:rPr>
          <w:sz w:val="16"/>
          <w:szCs w:val="16"/>
          <w:lang w:val="fr-CH"/>
        </w:rPr>
        <w:t xml:space="preserve"> Résolution </w:t>
      </w:r>
      <w:hyperlink r:id="rId15" w:history="1">
        <w:r w:rsidRPr="005312D4">
          <w:rPr>
            <w:rStyle w:val="Lienhypertexte"/>
            <w:sz w:val="16"/>
            <w:szCs w:val="16"/>
            <w:lang w:val="fr-CH"/>
          </w:rPr>
          <w:t>A/HRC/29/2</w:t>
        </w:r>
      </w:hyperlink>
      <w:r w:rsidRPr="005312D4">
        <w:rPr>
          <w:sz w:val="16"/>
          <w:szCs w:val="16"/>
          <w:lang w:val="fr-CH"/>
        </w:rPr>
        <w:t xml:space="preserve"> (2015), § 9, du C</w:t>
      </w:r>
      <w:r>
        <w:rPr>
          <w:sz w:val="16"/>
          <w:szCs w:val="16"/>
          <w:lang w:val="fr-CH"/>
        </w:rPr>
        <w:t>onseil des droits de l’homme</w:t>
      </w:r>
      <w:r w:rsidRPr="005312D4">
        <w:rPr>
          <w:sz w:val="16"/>
          <w:szCs w:val="16"/>
          <w:lang w:val="fr-CH"/>
        </w:rPr>
        <w:t>. L’étude sera soumise au Conseil avant sa 31</w:t>
      </w:r>
      <w:r w:rsidRPr="005312D4">
        <w:rPr>
          <w:sz w:val="16"/>
          <w:szCs w:val="16"/>
          <w:vertAlign w:val="superscript"/>
          <w:lang w:val="fr-CH"/>
        </w:rPr>
        <w:t>e</w:t>
      </w:r>
      <w:r>
        <w:rPr>
          <w:sz w:val="16"/>
          <w:szCs w:val="16"/>
          <w:lang w:val="fr-CH"/>
        </w:rPr>
        <w:t xml:space="preserve"> </w:t>
      </w:r>
      <w:r w:rsidRPr="005312D4">
        <w:rPr>
          <w:sz w:val="16"/>
          <w:szCs w:val="16"/>
          <w:lang w:val="fr-CH"/>
        </w:rPr>
        <w:t xml:space="preserve">session en mars 2016. </w:t>
      </w:r>
    </w:p>
  </w:endnote>
  <w:endnote w:id="15">
    <w:p w:rsidR="00452A2C" w:rsidRPr="00DC2024" w:rsidRDefault="00452A2C" w:rsidP="00452A2C">
      <w:pPr>
        <w:pStyle w:val="Default"/>
        <w:jc w:val="both"/>
        <w:rPr>
          <w:rFonts w:ascii="Calibri" w:hAnsi="Calibri"/>
          <w:sz w:val="16"/>
          <w:szCs w:val="16"/>
          <w:lang w:val="fr-CH"/>
        </w:rPr>
      </w:pPr>
      <w:r w:rsidRPr="005312D4">
        <w:rPr>
          <w:rStyle w:val="Appeldenotedefin"/>
          <w:rFonts w:ascii="Calibri" w:hAnsi="Calibri"/>
          <w:sz w:val="16"/>
          <w:szCs w:val="16"/>
        </w:rPr>
        <w:endnoteRef/>
      </w:r>
      <w:r w:rsidRPr="005312D4">
        <w:rPr>
          <w:rFonts w:ascii="Calibri" w:hAnsi="Calibri"/>
          <w:sz w:val="16"/>
          <w:szCs w:val="16"/>
          <w:lang w:val="fr-CH"/>
        </w:rPr>
        <w:t xml:space="preserve"> Résolution </w:t>
      </w:r>
      <w:hyperlink r:id="rId16" w:history="1">
        <w:r w:rsidRPr="005312D4">
          <w:rPr>
            <w:rStyle w:val="Lienhypertexte"/>
            <w:rFonts w:ascii="Calibri" w:hAnsi="Calibri"/>
            <w:sz w:val="16"/>
            <w:szCs w:val="16"/>
            <w:lang w:val="fr-CH"/>
          </w:rPr>
          <w:t>A/HRC/29/12</w:t>
        </w:r>
      </w:hyperlink>
      <w:r w:rsidRPr="005312D4">
        <w:rPr>
          <w:rFonts w:ascii="Calibri" w:hAnsi="Calibri"/>
          <w:sz w:val="16"/>
          <w:szCs w:val="16"/>
          <w:lang w:val="fr-CH"/>
        </w:rPr>
        <w:t xml:space="preserve"> (2015), § 4, du </w:t>
      </w:r>
      <w:r>
        <w:rPr>
          <w:rFonts w:ascii="Calibri" w:hAnsi="Calibri"/>
          <w:sz w:val="16"/>
          <w:szCs w:val="16"/>
          <w:lang w:val="fr-CH"/>
        </w:rPr>
        <w:t>Conseil des droits de l’homme</w:t>
      </w:r>
      <w:r w:rsidRPr="005312D4">
        <w:rPr>
          <w:rFonts w:ascii="Calibri" w:hAnsi="Calibri"/>
          <w:sz w:val="16"/>
          <w:szCs w:val="16"/>
          <w:lang w:val="fr-CH"/>
        </w:rPr>
        <w:t>. L’étude sera soumise au Conseil lors de sa 33</w:t>
      </w:r>
      <w:r w:rsidRPr="005312D4">
        <w:rPr>
          <w:rFonts w:ascii="Calibri" w:hAnsi="Calibri"/>
          <w:sz w:val="16"/>
          <w:szCs w:val="16"/>
          <w:vertAlign w:val="superscript"/>
          <w:lang w:val="fr-CH"/>
        </w:rPr>
        <w:t>e</w:t>
      </w:r>
      <w:r w:rsidRPr="005312D4">
        <w:rPr>
          <w:rFonts w:ascii="Calibri" w:hAnsi="Calibri"/>
          <w:sz w:val="16"/>
          <w:szCs w:val="16"/>
          <w:lang w:val="fr-CH"/>
        </w:rPr>
        <w:t xml:space="preserve"> session en septembre 2016.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Neue-BoldCon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790" w:rsidRDefault="00921790" w:rsidP="00F6444A">
      <w:pPr>
        <w:spacing w:after="0" w:line="240" w:lineRule="auto"/>
      </w:pPr>
      <w:r>
        <w:separator/>
      </w:r>
    </w:p>
  </w:footnote>
  <w:footnote w:type="continuationSeparator" w:id="0">
    <w:p w:rsidR="00921790" w:rsidRDefault="00921790" w:rsidP="00F644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E17FD"/>
    <w:multiLevelType w:val="hybridMultilevel"/>
    <w:tmpl w:val="E8EE7744"/>
    <w:lvl w:ilvl="0" w:tplc="E7427CD8">
      <w:start w:val="1"/>
      <w:numFmt w:val="bullet"/>
      <w:lvlText w:val="•"/>
      <w:lvlJc w:val="left"/>
      <w:pPr>
        <w:tabs>
          <w:tab w:val="num" w:pos="720"/>
        </w:tabs>
        <w:ind w:left="720" w:hanging="360"/>
      </w:pPr>
      <w:rPr>
        <w:rFonts w:ascii="Arial" w:hAnsi="Arial" w:hint="default"/>
      </w:rPr>
    </w:lvl>
    <w:lvl w:ilvl="1" w:tplc="05DAFB50" w:tentative="1">
      <w:start w:val="1"/>
      <w:numFmt w:val="bullet"/>
      <w:lvlText w:val="•"/>
      <w:lvlJc w:val="left"/>
      <w:pPr>
        <w:tabs>
          <w:tab w:val="num" w:pos="1440"/>
        </w:tabs>
        <w:ind w:left="1440" w:hanging="360"/>
      </w:pPr>
      <w:rPr>
        <w:rFonts w:ascii="Arial" w:hAnsi="Arial" w:hint="default"/>
      </w:rPr>
    </w:lvl>
    <w:lvl w:ilvl="2" w:tplc="BBB0D740" w:tentative="1">
      <w:start w:val="1"/>
      <w:numFmt w:val="bullet"/>
      <w:lvlText w:val="•"/>
      <w:lvlJc w:val="left"/>
      <w:pPr>
        <w:tabs>
          <w:tab w:val="num" w:pos="2160"/>
        </w:tabs>
        <w:ind w:left="2160" w:hanging="360"/>
      </w:pPr>
      <w:rPr>
        <w:rFonts w:ascii="Arial" w:hAnsi="Arial" w:hint="default"/>
      </w:rPr>
    </w:lvl>
    <w:lvl w:ilvl="3" w:tplc="55840610" w:tentative="1">
      <w:start w:val="1"/>
      <w:numFmt w:val="bullet"/>
      <w:lvlText w:val="•"/>
      <w:lvlJc w:val="left"/>
      <w:pPr>
        <w:tabs>
          <w:tab w:val="num" w:pos="2880"/>
        </w:tabs>
        <w:ind w:left="2880" w:hanging="360"/>
      </w:pPr>
      <w:rPr>
        <w:rFonts w:ascii="Arial" w:hAnsi="Arial" w:hint="default"/>
      </w:rPr>
    </w:lvl>
    <w:lvl w:ilvl="4" w:tplc="CC16F7CA" w:tentative="1">
      <w:start w:val="1"/>
      <w:numFmt w:val="bullet"/>
      <w:lvlText w:val="•"/>
      <w:lvlJc w:val="left"/>
      <w:pPr>
        <w:tabs>
          <w:tab w:val="num" w:pos="3600"/>
        </w:tabs>
        <w:ind w:left="3600" w:hanging="360"/>
      </w:pPr>
      <w:rPr>
        <w:rFonts w:ascii="Arial" w:hAnsi="Arial" w:hint="default"/>
      </w:rPr>
    </w:lvl>
    <w:lvl w:ilvl="5" w:tplc="C7BAD648" w:tentative="1">
      <w:start w:val="1"/>
      <w:numFmt w:val="bullet"/>
      <w:lvlText w:val="•"/>
      <w:lvlJc w:val="left"/>
      <w:pPr>
        <w:tabs>
          <w:tab w:val="num" w:pos="4320"/>
        </w:tabs>
        <w:ind w:left="4320" w:hanging="360"/>
      </w:pPr>
      <w:rPr>
        <w:rFonts w:ascii="Arial" w:hAnsi="Arial" w:hint="default"/>
      </w:rPr>
    </w:lvl>
    <w:lvl w:ilvl="6" w:tplc="30720160" w:tentative="1">
      <w:start w:val="1"/>
      <w:numFmt w:val="bullet"/>
      <w:lvlText w:val="•"/>
      <w:lvlJc w:val="left"/>
      <w:pPr>
        <w:tabs>
          <w:tab w:val="num" w:pos="5040"/>
        </w:tabs>
        <w:ind w:left="5040" w:hanging="360"/>
      </w:pPr>
      <w:rPr>
        <w:rFonts w:ascii="Arial" w:hAnsi="Arial" w:hint="default"/>
      </w:rPr>
    </w:lvl>
    <w:lvl w:ilvl="7" w:tplc="1DD25380" w:tentative="1">
      <w:start w:val="1"/>
      <w:numFmt w:val="bullet"/>
      <w:lvlText w:val="•"/>
      <w:lvlJc w:val="left"/>
      <w:pPr>
        <w:tabs>
          <w:tab w:val="num" w:pos="5760"/>
        </w:tabs>
        <w:ind w:left="5760" w:hanging="360"/>
      </w:pPr>
      <w:rPr>
        <w:rFonts w:ascii="Arial" w:hAnsi="Arial" w:hint="default"/>
      </w:rPr>
    </w:lvl>
    <w:lvl w:ilvl="8" w:tplc="B436F3E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57679E9"/>
    <w:multiLevelType w:val="multilevel"/>
    <w:tmpl w:val="A22ACBC0"/>
    <w:lvl w:ilvl="0">
      <w:start w:val="1"/>
      <w:numFmt w:val="decimal"/>
      <w:lvlText w:val="%1."/>
      <w:lvlJc w:val="left"/>
      <w:pPr>
        <w:ind w:left="450" w:hanging="360"/>
      </w:pPr>
      <w:rPr>
        <w:rFonts w:hint="default"/>
        <w:b w:val="0"/>
        <w:sz w:val="21"/>
        <w:szCs w:val="21"/>
      </w:rPr>
    </w:lvl>
    <w:lvl w:ilvl="1">
      <w:start w:val="1"/>
      <w:numFmt w:val="decimal"/>
      <w:isLgl/>
      <w:lvlText w:val="%1.%2."/>
      <w:lvlJc w:val="left"/>
      <w:pPr>
        <w:ind w:left="72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690" w:hanging="1440"/>
      </w:pPr>
      <w:rPr>
        <w:rFonts w:hint="default"/>
      </w:rPr>
    </w:lvl>
  </w:abstractNum>
  <w:abstractNum w:abstractNumId="2" w15:restartNumberingAfterBreak="0">
    <w:nsid w:val="2403506E"/>
    <w:multiLevelType w:val="hybridMultilevel"/>
    <w:tmpl w:val="9C5CE95C"/>
    <w:lvl w:ilvl="0" w:tplc="079EB210">
      <w:start w:val="1"/>
      <w:numFmt w:val="bullet"/>
      <w:lvlText w:val="•"/>
      <w:lvlJc w:val="left"/>
      <w:pPr>
        <w:tabs>
          <w:tab w:val="num" w:pos="720"/>
        </w:tabs>
        <w:ind w:left="720" w:hanging="360"/>
      </w:pPr>
      <w:rPr>
        <w:rFonts w:ascii="Arial" w:hAnsi="Arial" w:hint="default"/>
      </w:rPr>
    </w:lvl>
    <w:lvl w:ilvl="1" w:tplc="8E48E8E8" w:tentative="1">
      <w:start w:val="1"/>
      <w:numFmt w:val="bullet"/>
      <w:lvlText w:val="•"/>
      <w:lvlJc w:val="left"/>
      <w:pPr>
        <w:tabs>
          <w:tab w:val="num" w:pos="1440"/>
        </w:tabs>
        <w:ind w:left="1440" w:hanging="360"/>
      </w:pPr>
      <w:rPr>
        <w:rFonts w:ascii="Arial" w:hAnsi="Arial" w:hint="default"/>
      </w:rPr>
    </w:lvl>
    <w:lvl w:ilvl="2" w:tplc="8DDEF5BE" w:tentative="1">
      <w:start w:val="1"/>
      <w:numFmt w:val="bullet"/>
      <w:lvlText w:val="•"/>
      <w:lvlJc w:val="left"/>
      <w:pPr>
        <w:tabs>
          <w:tab w:val="num" w:pos="2160"/>
        </w:tabs>
        <w:ind w:left="2160" w:hanging="360"/>
      </w:pPr>
      <w:rPr>
        <w:rFonts w:ascii="Arial" w:hAnsi="Arial" w:hint="default"/>
      </w:rPr>
    </w:lvl>
    <w:lvl w:ilvl="3" w:tplc="1E54E494" w:tentative="1">
      <w:start w:val="1"/>
      <w:numFmt w:val="bullet"/>
      <w:lvlText w:val="•"/>
      <w:lvlJc w:val="left"/>
      <w:pPr>
        <w:tabs>
          <w:tab w:val="num" w:pos="2880"/>
        </w:tabs>
        <w:ind w:left="2880" w:hanging="360"/>
      </w:pPr>
      <w:rPr>
        <w:rFonts w:ascii="Arial" w:hAnsi="Arial" w:hint="default"/>
      </w:rPr>
    </w:lvl>
    <w:lvl w:ilvl="4" w:tplc="95CE9690" w:tentative="1">
      <w:start w:val="1"/>
      <w:numFmt w:val="bullet"/>
      <w:lvlText w:val="•"/>
      <w:lvlJc w:val="left"/>
      <w:pPr>
        <w:tabs>
          <w:tab w:val="num" w:pos="3600"/>
        </w:tabs>
        <w:ind w:left="3600" w:hanging="360"/>
      </w:pPr>
      <w:rPr>
        <w:rFonts w:ascii="Arial" w:hAnsi="Arial" w:hint="default"/>
      </w:rPr>
    </w:lvl>
    <w:lvl w:ilvl="5" w:tplc="A43E82DC" w:tentative="1">
      <w:start w:val="1"/>
      <w:numFmt w:val="bullet"/>
      <w:lvlText w:val="•"/>
      <w:lvlJc w:val="left"/>
      <w:pPr>
        <w:tabs>
          <w:tab w:val="num" w:pos="4320"/>
        </w:tabs>
        <w:ind w:left="4320" w:hanging="360"/>
      </w:pPr>
      <w:rPr>
        <w:rFonts w:ascii="Arial" w:hAnsi="Arial" w:hint="default"/>
      </w:rPr>
    </w:lvl>
    <w:lvl w:ilvl="6" w:tplc="D41E1040" w:tentative="1">
      <w:start w:val="1"/>
      <w:numFmt w:val="bullet"/>
      <w:lvlText w:val="•"/>
      <w:lvlJc w:val="left"/>
      <w:pPr>
        <w:tabs>
          <w:tab w:val="num" w:pos="5040"/>
        </w:tabs>
        <w:ind w:left="5040" w:hanging="360"/>
      </w:pPr>
      <w:rPr>
        <w:rFonts w:ascii="Arial" w:hAnsi="Arial" w:hint="default"/>
      </w:rPr>
    </w:lvl>
    <w:lvl w:ilvl="7" w:tplc="A928E118" w:tentative="1">
      <w:start w:val="1"/>
      <w:numFmt w:val="bullet"/>
      <w:lvlText w:val="•"/>
      <w:lvlJc w:val="left"/>
      <w:pPr>
        <w:tabs>
          <w:tab w:val="num" w:pos="5760"/>
        </w:tabs>
        <w:ind w:left="5760" w:hanging="360"/>
      </w:pPr>
      <w:rPr>
        <w:rFonts w:ascii="Arial" w:hAnsi="Arial" w:hint="default"/>
      </w:rPr>
    </w:lvl>
    <w:lvl w:ilvl="8" w:tplc="E424CAF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8EB3C0F"/>
    <w:multiLevelType w:val="hybridMultilevel"/>
    <w:tmpl w:val="B9581C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1A34C26"/>
    <w:multiLevelType w:val="hybridMultilevel"/>
    <w:tmpl w:val="25827286"/>
    <w:lvl w:ilvl="0" w:tplc="F0D83B14">
      <w:start w:val="1"/>
      <w:numFmt w:val="bullet"/>
      <w:lvlText w:val="•"/>
      <w:lvlJc w:val="left"/>
      <w:pPr>
        <w:tabs>
          <w:tab w:val="num" w:pos="720"/>
        </w:tabs>
        <w:ind w:left="720" w:hanging="360"/>
      </w:pPr>
      <w:rPr>
        <w:rFonts w:ascii="Arial" w:hAnsi="Arial" w:hint="default"/>
      </w:rPr>
    </w:lvl>
    <w:lvl w:ilvl="1" w:tplc="B728F7E8" w:tentative="1">
      <w:start w:val="1"/>
      <w:numFmt w:val="bullet"/>
      <w:lvlText w:val="•"/>
      <w:lvlJc w:val="left"/>
      <w:pPr>
        <w:tabs>
          <w:tab w:val="num" w:pos="1440"/>
        </w:tabs>
        <w:ind w:left="1440" w:hanging="360"/>
      </w:pPr>
      <w:rPr>
        <w:rFonts w:ascii="Arial" w:hAnsi="Arial" w:hint="default"/>
      </w:rPr>
    </w:lvl>
    <w:lvl w:ilvl="2" w:tplc="2604EBE8" w:tentative="1">
      <w:start w:val="1"/>
      <w:numFmt w:val="bullet"/>
      <w:lvlText w:val="•"/>
      <w:lvlJc w:val="left"/>
      <w:pPr>
        <w:tabs>
          <w:tab w:val="num" w:pos="2160"/>
        </w:tabs>
        <w:ind w:left="2160" w:hanging="360"/>
      </w:pPr>
      <w:rPr>
        <w:rFonts w:ascii="Arial" w:hAnsi="Arial" w:hint="default"/>
      </w:rPr>
    </w:lvl>
    <w:lvl w:ilvl="3" w:tplc="C6C86166" w:tentative="1">
      <w:start w:val="1"/>
      <w:numFmt w:val="bullet"/>
      <w:lvlText w:val="•"/>
      <w:lvlJc w:val="left"/>
      <w:pPr>
        <w:tabs>
          <w:tab w:val="num" w:pos="2880"/>
        </w:tabs>
        <w:ind w:left="2880" w:hanging="360"/>
      </w:pPr>
      <w:rPr>
        <w:rFonts w:ascii="Arial" w:hAnsi="Arial" w:hint="default"/>
      </w:rPr>
    </w:lvl>
    <w:lvl w:ilvl="4" w:tplc="224AB7E4" w:tentative="1">
      <w:start w:val="1"/>
      <w:numFmt w:val="bullet"/>
      <w:lvlText w:val="•"/>
      <w:lvlJc w:val="left"/>
      <w:pPr>
        <w:tabs>
          <w:tab w:val="num" w:pos="3600"/>
        </w:tabs>
        <w:ind w:left="3600" w:hanging="360"/>
      </w:pPr>
      <w:rPr>
        <w:rFonts w:ascii="Arial" w:hAnsi="Arial" w:hint="default"/>
      </w:rPr>
    </w:lvl>
    <w:lvl w:ilvl="5" w:tplc="48ECD73A" w:tentative="1">
      <w:start w:val="1"/>
      <w:numFmt w:val="bullet"/>
      <w:lvlText w:val="•"/>
      <w:lvlJc w:val="left"/>
      <w:pPr>
        <w:tabs>
          <w:tab w:val="num" w:pos="4320"/>
        </w:tabs>
        <w:ind w:left="4320" w:hanging="360"/>
      </w:pPr>
      <w:rPr>
        <w:rFonts w:ascii="Arial" w:hAnsi="Arial" w:hint="default"/>
      </w:rPr>
    </w:lvl>
    <w:lvl w:ilvl="6" w:tplc="76169328" w:tentative="1">
      <w:start w:val="1"/>
      <w:numFmt w:val="bullet"/>
      <w:lvlText w:val="•"/>
      <w:lvlJc w:val="left"/>
      <w:pPr>
        <w:tabs>
          <w:tab w:val="num" w:pos="5040"/>
        </w:tabs>
        <w:ind w:left="5040" w:hanging="360"/>
      </w:pPr>
      <w:rPr>
        <w:rFonts w:ascii="Arial" w:hAnsi="Arial" w:hint="default"/>
      </w:rPr>
    </w:lvl>
    <w:lvl w:ilvl="7" w:tplc="0E7E4E60" w:tentative="1">
      <w:start w:val="1"/>
      <w:numFmt w:val="bullet"/>
      <w:lvlText w:val="•"/>
      <w:lvlJc w:val="left"/>
      <w:pPr>
        <w:tabs>
          <w:tab w:val="num" w:pos="5760"/>
        </w:tabs>
        <w:ind w:left="5760" w:hanging="360"/>
      </w:pPr>
      <w:rPr>
        <w:rFonts w:ascii="Arial" w:hAnsi="Arial" w:hint="default"/>
      </w:rPr>
    </w:lvl>
    <w:lvl w:ilvl="8" w:tplc="0F78F0B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312438C"/>
    <w:multiLevelType w:val="hybridMultilevel"/>
    <w:tmpl w:val="381CF82E"/>
    <w:lvl w:ilvl="0" w:tplc="B4AA5E36">
      <w:start w:val="1"/>
      <w:numFmt w:val="bullet"/>
      <w:lvlText w:val="•"/>
      <w:lvlJc w:val="left"/>
      <w:pPr>
        <w:tabs>
          <w:tab w:val="num" w:pos="720"/>
        </w:tabs>
        <w:ind w:left="720" w:hanging="360"/>
      </w:pPr>
      <w:rPr>
        <w:rFonts w:ascii="Arial" w:hAnsi="Arial" w:hint="default"/>
      </w:rPr>
    </w:lvl>
    <w:lvl w:ilvl="1" w:tplc="D744D458" w:tentative="1">
      <w:start w:val="1"/>
      <w:numFmt w:val="bullet"/>
      <w:lvlText w:val="•"/>
      <w:lvlJc w:val="left"/>
      <w:pPr>
        <w:tabs>
          <w:tab w:val="num" w:pos="1440"/>
        </w:tabs>
        <w:ind w:left="1440" w:hanging="360"/>
      </w:pPr>
      <w:rPr>
        <w:rFonts w:ascii="Arial" w:hAnsi="Arial" w:hint="default"/>
      </w:rPr>
    </w:lvl>
    <w:lvl w:ilvl="2" w:tplc="F03826E0" w:tentative="1">
      <w:start w:val="1"/>
      <w:numFmt w:val="bullet"/>
      <w:lvlText w:val="•"/>
      <w:lvlJc w:val="left"/>
      <w:pPr>
        <w:tabs>
          <w:tab w:val="num" w:pos="2160"/>
        </w:tabs>
        <w:ind w:left="2160" w:hanging="360"/>
      </w:pPr>
      <w:rPr>
        <w:rFonts w:ascii="Arial" w:hAnsi="Arial" w:hint="default"/>
      </w:rPr>
    </w:lvl>
    <w:lvl w:ilvl="3" w:tplc="CC8EE642" w:tentative="1">
      <w:start w:val="1"/>
      <w:numFmt w:val="bullet"/>
      <w:lvlText w:val="•"/>
      <w:lvlJc w:val="left"/>
      <w:pPr>
        <w:tabs>
          <w:tab w:val="num" w:pos="2880"/>
        </w:tabs>
        <w:ind w:left="2880" w:hanging="360"/>
      </w:pPr>
      <w:rPr>
        <w:rFonts w:ascii="Arial" w:hAnsi="Arial" w:hint="default"/>
      </w:rPr>
    </w:lvl>
    <w:lvl w:ilvl="4" w:tplc="249CF422" w:tentative="1">
      <w:start w:val="1"/>
      <w:numFmt w:val="bullet"/>
      <w:lvlText w:val="•"/>
      <w:lvlJc w:val="left"/>
      <w:pPr>
        <w:tabs>
          <w:tab w:val="num" w:pos="3600"/>
        </w:tabs>
        <w:ind w:left="3600" w:hanging="360"/>
      </w:pPr>
      <w:rPr>
        <w:rFonts w:ascii="Arial" w:hAnsi="Arial" w:hint="default"/>
      </w:rPr>
    </w:lvl>
    <w:lvl w:ilvl="5" w:tplc="59D471F8" w:tentative="1">
      <w:start w:val="1"/>
      <w:numFmt w:val="bullet"/>
      <w:lvlText w:val="•"/>
      <w:lvlJc w:val="left"/>
      <w:pPr>
        <w:tabs>
          <w:tab w:val="num" w:pos="4320"/>
        </w:tabs>
        <w:ind w:left="4320" w:hanging="360"/>
      </w:pPr>
      <w:rPr>
        <w:rFonts w:ascii="Arial" w:hAnsi="Arial" w:hint="default"/>
      </w:rPr>
    </w:lvl>
    <w:lvl w:ilvl="6" w:tplc="D53C0AA2" w:tentative="1">
      <w:start w:val="1"/>
      <w:numFmt w:val="bullet"/>
      <w:lvlText w:val="•"/>
      <w:lvlJc w:val="left"/>
      <w:pPr>
        <w:tabs>
          <w:tab w:val="num" w:pos="5040"/>
        </w:tabs>
        <w:ind w:left="5040" w:hanging="360"/>
      </w:pPr>
      <w:rPr>
        <w:rFonts w:ascii="Arial" w:hAnsi="Arial" w:hint="default"/>
      </w:rPr>
    </w:lvl>
    <w:lvl w:ilvl="7" w:tplc="460EF57A" w:tentative="1">
      <w:start w:val="1"/>
      <w:numFmt w:val="bullet"/>
      <w:lvlText w:val="•"/>
      <w:lvlJc w:val="left"/>
      <w:pPr>
        <w:tabs>
          <w:tab w:val="num" w:pos="5760"/>
        </w:tabs>
        <w:ind w:left="5760" w:hanging="360"/>
      </w:pPr>
      <w:rPr>
        <w:rFonts w:ascii="Arial" w:hAnsi="Arial" w:hint="default"/>
      </w:rPr>
    </w:lvl>
    <w:lvl w:ilvl="8" w:tplc="D4F4359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4815447"/>
    <w:multiLevelType w:val="hybridMultilevel"/>
    <w:tmpl w:val="D4E62740"/>
    <w:lvl w:ilvl="0" w:tplc="4338511E">
      <w:start w:val="1"/>
      <w:numFmt w:val="bullet"/>
      <w:lvlText w:val="•"/>
      <w:lvlJc w:val="left"/>
      <w:pPr>
        <w:tabs>
          <w:tab w:val="num" w:pos="720"/>
        </w:tabs>
        <w:ind w:left="720" w:hanging="360"/>
      </w:pPr>
      <w:rPr>
        <w:rFonts w:ascii="Arial" w:hAnsi="Arial" w:hint="default"/>
      </w:rPr>
    </w:lvl>
    <w:lvl w:ilvl="1" w:tplc="64EE99B6" w:tentative="1">
      <w:start w:val="1"/>
      <w:numFmt w:val="bullet"/>
      <w:lvlText w:val="•"/>
      <w:lvlJc w:val="left"/>
      <w:pPr>
        <w:tabs>
          <w:tab w:val="num" w:pos="1440"/>
        </w:tabs>
        <w:ind w:left="1440" w:hanging="360"/>
      </w:pPr>
      <w:rPr>
        <w:rFonts w:ascii="Arial" w:hAnsi="Arial" w:hint="default"/>
      </w:rPr>
    </w:lvl>
    <w:lvl w:ilvl="2" w:tplc="666A5EFE" w:tentative="1">
      <w:start w:val="1"/>
      <w:numFmt w:val="bullet"/>
      <w:lvlText w:val="•"/>
      <w:lvlJc w:val="left"/>
      <w:pPr>
        <w:tabs>
          <w:tab w:val="num" w:pos="2160"/>
        </w:tabs>
        <w:ind w:left="2160" w:hanging="360"/>
      </w:pPr>
      <w:rPr>
        <w:rFonts w:ascii="Arial" w:hAnsi="Arial" w:hint="default"/>
      </w:rPr>
    </w:lvl>
    <w:lvl w:ilvl="3" w:tplc="9200B3CC" w:tentative="1">
      <w:start w:val="1"/>
      <w:numFmt w:val="bullet"/>
      <w:lvlText w:val="•"/>
      <w:lvlJc w:val="left"/>
      <w:pPr>
        <w:tabs>
          <w:tab w:val="num" w:pos="2880"/>
        </w:tabs>
        <w:ind w:left="2880" w:hanging="360"/>
      </w:pPr>
      <w:rPr>
        <w:rFonts w:ascii="Arial" w:hAnsi="Arial" w:hint="default"/>
      </w:rPr>
    </w:lvl>
    <w:lvl w:ilvl="4" w:tplc="41A6EEC4" w:tentative="1">
      <w:start w:val="1"/>
      <w:numFmt w:val="bullet"/>
      <w:lvlText w:val="•"/>
      <w:lvlJc w:val="left"/>
      <w:pPr>
        <w:tabs>
          <w:tab w:val="num" w:pos="3600"/>
        </w:tabs>
        <w:ind w:left="3600" w:hanging="360"/>
      </w:pPr>
      <w:rPr>
        <w:rFonts w:ascii="Arial" w:hAnsi="Arial" w:hint="default"/>
      </w:rPr>
    </w:lvl>
    <w:lvl w:ilvl="5" w:tplc="8026979E" w:tentative="1">
      <w:start w:val="1"/>
      <w:numFmt w:val="bullet"/>
      <w:lvlText w:val="•"/>
      <w:lvlJc w:val="left"/>
      <w:pPr>
        <w:tabs>
          <w:tab w:val="num" w:pos="4320"/>
        </w:tabs>
        <w:ind w:left="4320" w:hanging="360"/>
      </w:pPr>
      <w:rPr>
        <w:rFonts w:ascii="Arial" w:hAnsi="Arial" w:hint="default"/>
      </w:rPr>
    </w:lvl>
    <w:lvl w:ilvl="6" w:tplc="05BC7524" w:tentative="1">
      <w:start w:val="1"/>
      <w:numFmt w:val="bullet"/>
      <w:lvlText w:val="•"/>
      <w:lvlJc w:val="left"/>
      <w:pPr>
        <w:tabs>
          <w:tab w:val="num" w:pos="5040"/>
        </w:tabs>
        <w:ind w:left="5040" w:hanging="360"/>
      </w:pPr>
      <w:rPr>
        <w:rFonts w:ascii="Arial" w:hAnsi="Arial" w:hint="default"/>
      </w:rPr>
    </w:lvl>
    <w:lvl w:ilvl="7" w:tplc="4CCA3F48" w:tentative="1">
      <w:start w:val="1"/>
      <w:numFmt w:val="bullet"/>
      <w:lvlText w:val="•"/>
      <w:lvlJc w:val="left"/>
      <w:pPr>
        <w:tabs>
          <w:tab w:val="num" w:pos="5760"/>
        </w:tabs>
        <w:ind w:left="5760" w:hanging="360"/>
      </w:pPr>
      <w:rPr>
        <w:rFonts w:ascii="Arial" w:hAnsi="Arial" w:hint="default"/>
      </w:rPr>
    </w:lvl>
    <w:lvl w:ilvl="8" w:tplc="0CA8C5C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A486E39"/>
    <w:multiLevelType w:val="hybridMultilevel"/>
    <w:tmpl w:val="BC7C6446"/>
    <w:lvl w:ilvl="0" w:tplc="62A83984">
      <w:start w:val="1"/>
      <w:numFmt w:val="bullet"/>
      <w:lvlText w:val="•"/>
      <w:lvlJc w:val="left"/>
      <w:pPr>
        <w:tabs>
          <w:tab w:val="num" w:pos="720"/>
        </w:tabs>
        <w:ind w:left="720" w:hanging="360"/>
      </w:pPr>
      <w:rPr>
        <w:rFonts w:ascii="Arial" w:hAnsi="Arial" w:hint="default"/>
      </w:rPr>
    </w:lvl>
    <w:lvl w:ilvl="1" w:tplc="08FC0518" w:tentative="1">
      <w:start w:val="1"/>
      <w:numFmt w:val="bullet"/>
      <w:lvlText w:val="•"/>
      <w:lvlJc w:val="left"/>
      <w:pPr>
        <w:tabs>
          <w:tab w:val="num" w:pos="1440"/>
        </w:tabs>
        <w:ind w:left="1440" w:hanging="360"/>
      </w:pPr>
      <w:rPr>
        <w:rFonts w:ascii="Arial" w:hAnsi="Arial" w:hint="default"/>
      </w:rPr>
    </w:lvl>
    <w:lvl w:ilvl="2" w:tplc="B08A2C26" w:tentative="1">
      <w:start w:val="1"/>
      <w:numFmt w:val="bullet"/>
      <w:lvlText w:val="•"/>
      <w:lvlJc w:val="left"/>
      <w:pPr>
        <w:tabs>
          <w:tab w:val="num" w:pos="2160"/>
        </w:tabs>
        <w:ind w:left="2160" w:hanging="360"/>
      </w:pPr>
      <w:rPr>
        <w:rFonts w:ascii="Arial" w:hAnsi="Arial" w:hint="default"/>
      </w:rPr>
    </w:lvl>
    <w:lvl w:ilvl="3" w:tplc="01128C52" w:tentative="1">
      <w:start w:val="1"/>
      <w:numFmt w:val="bullet"/>
      <w:lvlText w:val="•"/>
      <w:lvlJc w:val="left"/>
      <w:pPr>
        <w:tabs>
          <w:tab w:val="num" w:pos="2880"/>
        </w:tabs>
        <w:ind w:left="2880" w:hanging="360"/>
      </w:pPr>
      <w:rPr>
        <w:rFonts w:ascii="Arial" w:hAnsi="Arial" w:hint="default"/>
      </w:rPr>
    </w:lvl>
    <w:lvl w:ilvl="4" w:tplc="8C6699D4" w:tentative="1">
      <w:start w:val="1"/>
      <w:numFmt w:val="bullet"/>
      <w:lvlText w:val="•"/>
      <w:lvlJc w:val="left"/>
      <w:pPr>
        <w:tabs>
          <w:tab w:val="num" w:pos="3600"/>
        </w:tabs>
        <w:ind w:left="3600" w:hanging="360"/>
      </w:pPr>
      <w:rPr>
        <w:rFonts w:ascii="Arial" w:hAnsi="Arial" w:hint="default"/>
      </w:rPr>
    </w:lvl>
    <w:lvl w:ilvl="5" w:tplc="E01E586A" w:tentative="1">
      <w:start w:val="1"/>
      <w:numFmt w:val="bullet"/>
      <w:lvlText w:val="•"/>
      <w:lvlJc w:val="left"/>
      <w:pPr>
        <w:tabs>
          <w:tab w:val="num" w:pos="4320"/>
        </w:tabs>
        <w:ind w:left="4320" w:hanging="360"/>
      </w:pPr>
      <w:rPr>
        <w:rFonts w:ascii="Arial" w:hAnsi="Arial" w:hint="default"/>
      </w:rPr>
    </w:lvl>
    <w:lvl w:ilvl="6" w:tplc="393642DE" w:tentative="1">
      <w:start w:val="1"/>
      <w:numFmt w:val="bullet"/>
      <w:lvlText w:val="•"/>
      <w:lvlJc w:val="left"/>
      <w:pPr>
        <w:tabs>
          <w:tab w:val="num" w:pos="5040"/>
        </w:tabs>
        <w:ind w:left="5040" w:hanging="360"/>
      </w:pPr>
      <w:rPr>
        <w:rFonts w:ascii="Arial" w:hAnsi="Arial" w:hint="default"/>
      </w:rPr>
    </w:lvl>
    <w:lvl w:ilvl="7" w:tplc="95229E62" w:tentative="1">
      <w:start w:val="1"/>
      <w:numFmt w:val="bullet"/>
      <w:lvlText w:val="•"/>
      <w:lvlJc w:val="left"/>
      <w:pPr>
        <w:tabs>
          <w:tab w:val="num" w:pos="5760"/>
        </w:tabs>
        <w:ind w:left="5760" w:hanging="360"/>
      </w:pPr>
      <w:rPr>
        <w:rFonts w:ascii="Arial" w:hAnsi="Arial" w:hint="default"/>
      </w:rPr>
    </w:lvl>
    <w:lvl w:ilvl="8" w:tplc="AFEEBAD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D091A1A"/>
    <w:multiLevelType w:val="hybridMultilevel"/>
    <w:tmpl w:val="E22669B6"/>
    <w:lvl w:ilvl="0" w:tplc="41F273B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F040AA1"/>
    <w:multiLevelType w:val="hybridMultilevel"/>
    <w:tmpl w:val="0262C4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CC258DC"/>
    <w:multiLevelType w:val="hybridMultilevel"/>
    <w:tmpl w:val="59C6801C"/>
    <w:lvl w:ilvl="0" w:tplc="9CB8C36A">
      <w:start w:val="19"/>
      <w:numFmt w:val="bullet"/>
      <w:lvlText w:val="-"/>
      <w:lvlJc w:val="left"/>
      <w:pPr>
        <w:ind w:left="720" w:hanging="360"/>
      </w:pPr>
      <w:rPr>
        <w:rFonts w:ascii="Calibri" w:eastAsia="Times New Roman" w:hAnsi="Calibri" w:hint="default"/>
        <w:sz w:val="22"/>
        <w:szCs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1" w15:restartNumberingAfterBreak="0">
    <w:nsid w:val="63DA7FDB"/>
    <w:multiLevelType w:val="hybridMultilevel"/>
    <w:tmpl w:val="90A20798"/>
    <w:lvl w:ilvl="0" w:tplc="B0345BFE">
      <w:start w:val="1"/>
      <w:numFmt w:val="bullet"/>
      <w:lvlText w:val="•"/>
      <w:lvlJc w:val="left"/>
      <w:pPr>
        <w:tabs>
          <w:tab w:val="num" w:pos="720"/>
        </w:tabs>
        <w:ind w:left="720" w:hanging="360"/>
      </w:pPr>
      <w:rPr>
        <w:rFonts w:ascii="Arial" w:hAnsi="Arial" w:hint="default"/>
      </w:rPr>
    </w:lvl>
    <w:lvl w:ilvl="1" w:tplc="854C3B7C" w:tentative="1">
      <w:start w:val="1"/>
      <w:numFmt w:val="bullet"/>
      <w:lvlText w:val="•"/>
      <w:lvlJc w:val="left"/>
      <w:pPr>
        <w:tabs>
          <w:tab w:val="num" w:pos="1440"/>
        </w:tabs>
        <w:ind w:left="1440" w:hanging="360"/>
      </w:pPr>
      <w:rPr>
        <w:rFonts w:ascii="Arial" w:hAnsi="Arial" w:hint="default"/>
      </w:rPr>
    </w:lvl>
    <w:lvl w:ilvl="2" w:tplc="8060898C" w:tentative="1">
      <w:start w:val="1"/>
      <w:numFmt w:val="bullet"/>
      <w:lvlText w:val="•"/>
      <w:lvlJc w:val="left"/>
      <w:pPr>
        <w:tabs>
          <w:tab w:val="num" w:pos="2160"/>
        </w:tabs>
        <w:ind w:left="2160" w:hanging="360"/>
      </w:pPr>
      <w:rPr>
        <w:rFonts w:ascii="Arial" w:hAnsi="Arial" w:hint="default"/>
      </w:rPr>
    </w:lvl>
    <w:lvl w:ilvl="3" w:tplc="5498C3DE" w:tentative="1">
      <w:start w:val="1"/>
      <w:numFmt w:val="bullet"/>
      <w:lvlText w:val="•"/>
      <w:lvlJc w:val="left"/>
      <w:pPr>
        <w:tabs>
          <w:tab w:val="num" w:pos="2880"/>
        </w:tabs>
        <w:ind w:left="2880" w:hanging="360"/>
      </w:pPr>
      <w:rPr>
        <w:rFonts w:ascii="Arial" w:hAnsi="Arial" w:hint="default"/>
      </w:rPr>
    </w:lvl>
    <w:lvl w:ilvl="4" w:tplc="9F32B7E6" w:tentative="1">
      <w:start w:val="1"/>
      <w:numFmt w:val="bullet"/>
      <w:lvlText w:val="•"/>
      <w:lvlJc w:val="left"/>
      <w:pPr>
        <w:tabs>
          <w:tab w:val="num" w:pos="3600"/>
        </w:tabs>
        <w:ind w:left="3600" w:hanging="360"/>
      </w:pPr>
      <w:rPr>
        <w:rFonts w:ascii="Arial" w:hAnsi="Arial" w:hint="default"/>
      </w:rPr>
    </w:lvl>
    <w:lvl w:ilvl="5" w:tplc="74C8786E" w:tentative="1">
      <w:start w:val="1"/>
      <w:numFmt w:val="bullet"/>
      <w:lvlText w:val="•"/>
      <w:lvlJc w:val="left"/>
      <w:pPr>
        <w:tabs>
          <w:tab w:val="num" w:pos="4320"/>
        </w:tabs>
        <w:ind w:left="4320" w:hanging="360"/>
      </w:pPr>
      <w:rPr>
        <w:rFonts w:ascii="Arial" w:hAnsi="Arial" w:hint="default"/>
      </w:rPr>
    </w:lvl>
    <w:lvl w:ilvl="6" w:tplc="99FE5376" w:tentative="1">
      <w:start w:val="1"/>
      <w:numFmt w:val="bullet"/>
      <w:lvlText w:val="•"/>
      <w:lvlJc w:val="left"/>
      <w:pPr>
        <w:tabs>
          <w:tab w:val="num" w:pos="5040"/>
        </w:tabs>
        <w:ind w:left="5040" w:hanging="360"/>
      </w:pPr>
      <w:rPr>
        <w:rFonts w:ascii="Arial" w:hAnsi="Arial" w:hint="default"/>
      </w:rPr>
    </w:lvl>
    <w:lvl w:ilvl="7" w:tplc="28FE162C" w:tentative="1">
      <w:start w:val="1"/>
      <w:numFmt w:val="bullet"/>
      <w:lvlText w:val="•"/>
      <w:lvlJc w:val="left"/>
      <w:pPr>
        <w:tabs>
          <w:tab w:val="num" w:pos="5760"/>
        </w:tabs>
        <w:ind w:left="5760" w:hanging="360"/>
      </w:pPr>
      <w:rPr>
        <w:rFonts w:ascii="Arial" w:hAnsi="Arial" w:hint="default"/>
      </w:rPr>
    </w:lvl>
    <w:lvl w:ilvl="8" w:tplc="0978906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43E519D"/>
    <w:multiLevelType w:val="hybridMultilevel"/>
    <w:tmpl w:val="4CB88194"/>
    <w:lvl w:ilvl="0" w:tplc="46966578">
      <w:numFmt w:val="bullet"/>
      <w:lvlText w:val=""/>
      <w:lvlJc w:val="left"/>
      <w:pPr>
        <w:ind w:left="720" w:hanging="360"/>
      </w:pPr>
      <w:rPr>
        <w:rFonts w:ascii="Wingdings" w:eastAsia="Times New Roman"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54646A4"/>
    <w:multiLevelType w:val="hybridMultilevel"/>
    <w:tmpl w:val="7AA69B0E"/>
    <w:lvl w:ilvl="0" w:tplc="F5D6D9B6">
      <w:start w:val="1"/>
      <w:numFmt w:val="bullet"/>
      <w:lvlText w:val="•"/>
      <w:lvlJc w:val="left"/>
      <w:pPr>
        <w:tabs>
          <w:tab w:val="num" w:pos="720"/>
        </w:tabs>
        <w:ind w:left="720" w:hanging="360"/>
      </w:pPr>
      <w:rPr>
        <w:rFonts w:ascii="Arial" w:hAnsi="Arial" w:hint="default"/>
      </w:rPr>
    </w:lvl>
    <w:lvl w:ilvl="1" w:tplc="BD92403E" w:tentative="1">
      <w:start w:val="1"/>
      <w:numFmt w:val="bullet"/>
      <w:lvlText w:val="•"/>
      <w:lvlJc w:val="left"/>
      <w:pPr>
        <w:tabs>
          <w:tab w:val="num" w:pos="1440"/>
        </w:tabs>
        <w:ind w:left="1440" w:hanging="360"/>
      </w:pPr>
      <w:rPr>
        <w:rFonts w:ascii="Arial" w:hAnsi="Arial" w:hint="default"/>
      </w:rPr>
    </w:lvl>
    <w:lvl w:ilvl="2" w:tplc="DF7C5632" w:tentative="1">
      <w:start w:val="1"/>
      <w:numFmt w:val="bullet"/>
      <w:lvlText w:val="•"/>
      <w:lvlJc w:val="left"/>
      <w:pPr>
        <w:tabs>
          <w:tab w:val="num" w:pos="2160"/>
        </w:tabs>
        <w:ind w:left="2160" w:hanging="360"/>
      </w:pPr>
      <w:rPr>
        <w:rFonts w:ascii="Arial" w:hAnsi="Arial" w:hint="default"/>
      </w:rPr>
    </w:lvl>
    <w:lvl w:ilvl="3" w:tplc="184EED10" w:tentative="1">
      <w:start w:val="1"/>
      <w:numFmt w:val="bullet"/>
      <w:lvlText w:val="•"/>
      <w:lvlJc w:val="left"/>
      <w:pPr>
        <w:tabs>
          <w:tab w:val="num" w:pos="2880"/>
        </w:tabs>
        <w:ind w:left="2880" w:hanging="360"/>
      </w:pPr>
      <w:rPr>
        <w:rFonts w:ascii="Arial" w:hAnsi="Arial" w:hint="default"/>
      </w:rPr>
    </w:lvl>
    <w:lvl w:ilvl="4" w:tplc="12BAE95C" w:tentative="1">
      <w:start w:val="1"/>
      <w:numFmt w:val="bullet"/>
      <w:lvlText w:val="•"/>
      <w:lvlJc w:val="left"/>
      <w:pPr>
        <w:tabs>
          <w:tab w:val="num" w:pos="3600"/>
        </w:tabs>
        <w:ind w:left="3600" w:hanging="360"/>
      </w:pPr>
      <w:rPr>
        <w:rFonts w:ascii="Arial" w:hAnsi="Arial" w:hint="default"/>
      </w:rPr>
    </w:lvl>
    <w:lvl w:ilvl="5" w:tplc="00DE9D18" w:tentative="1">
      <w:start w:val="1"/>
      <w:numFmt w:val="bullet"/>
      <w:lvlText w:val="•"/>
      <w:lvlJc w:val="left"/>
      <w:pPr>
        <w:tabs>
          <w:tab w:val="num" w:pos="4320"/>
        </w:tabs>
        <w:ind w:left="4320" w:hanging="360"/>
      </w:pPr>
      <w:rPr>
        <w:rFonts w:ascii="Arial" w:hAnsi="Arial" w:hint="default"/>
      </w:rPr>
    </w:lvl>
    <w:lvl w:ilvl="6" w:tplc="0D9C96EA" w:tentative="1">
      <w:start w:val="1"/>
      <w:numFmt w:val="bullet"/>
      <w:lvlText w:val="•"/>
      <w:lvlJc w:val="left"/>
      <w:pPr>
        <w:tabs>
          <w:tab w:val="num" w:pos="5040"/>
        </w:tabs>
        <w:ind w:left="5040" w:hanging="360"/>
      </w:pPr>
      <w:rPr>
        <w:rFonts w:ascii="Arial" w:hAnsi="Arial" w:hint="default"/>
      </w:rPr>
    </w:lvl>
    <w:lvl w:ilvl="7" w:tplc="21840DE8" w:tentative="1">
      <w:start w:val="1"/>
      <w:numFmt w:val="bullet"/>
      <w:lvlText w:val="•"/>
      <w:lvlJc w:val="left"/>
      <w:pPr>
        <w:tabs>
          <w:tab w:val="num" w:pos="5760"/>
        </w:tabs>
        <w:ind w:left="5760" w:hanging="360"/>
      </w:pPr>
      <w:rPr>
        <w:rFonts w:ascii="Arial" w:hAnsi="Arial" w:hint="default"/>
      </w:rPr>
    </w:lvl>
    <w:lvl w:ilvl="8" w:tplc="F5D22F3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9660BE8"/>
    <w:multiLevelType w:val="hybridMultilevel"/>
    <w:tmpl w:val="0004D1C4"/>
    <w:lvl w:ilvl="0" w:tplc="09208022">
      <w:start w:val="1"/>
      <w:numFmt w:val="bullet"/>
      <w:lvlText w:val="•"/>
      <w:lvlJc w:val="left"/>
      <w:pPr>
        <w:tabs>
          <w:tab w:val="num" w:pos="720"/>
        </w:tabs>
        <w:ind w:left="720" w:hanging="360"/>
      </w:pPr>
      <w:rPr>
        <w:rFonts w:ascii="Arial" w:hAnsi="Arial" w:hint="default"/>
      </w:rPr>
    </w:lvl>
    <w:lvl w:ilvl="1" w:tplc="FE5A52B0" w:tentative="1">
      <w:start w:val="1"/>
      <w:numFmt w:val="bullet"/>
      <w:lvlText w:val="•"/>
      <w:lvlJc w:val="left"/>
      <w:pPr>
        <w:tabs>
          <w:tab w:val="num" w:pos="1440"/>
        </w:tabs>
        <w:ind w:left="1440" w:hanging="360"/>
      </w:pPr>
      <w:rPr>
        <w:rFonts w:ascii="Arial" w:hAnsi="Arial" w:hint="default"/>
      </w:rPr>
    </w:lvl>
    <w:lvl w:ilvl="2" w:tplc="7DD6E1FE" w:tentative="1">
      <w:start w:val="1"/>
      <w:numFmt w:val="bullet"/>
      <w:lvlText w:val="•"/>
      <w:lvlJc w:val="left"/>
      <w:pPr>
        <w:tabs>
          <w:tab w:val="num" w:pos="2160"/>
        </w:tabs>
        <w:ind w:left="2160" w:hanging="360"/>
      </w:pPr>
      <w:rPr>
        <w:rFonts w:ascii="Arial" w:hAnsi="Arial" w:hint="default"/>
      </w:rPr>
    </w:lvl>
    <w:lvl w:ilvl="3" w:tplc="54C69970" w:tentative="1">
      <w:start w:val="1"/>
      <w:numFmt w:val="bullet"/>
      <w:lvlText w:val="•"/>
      <w:lvlJc w:val="left"/>
      <w:pPr>
        <w:tabs>
          <w:tab w:val="num" w:pos="2880"/>
        </w:tabs>
        <w:ind w:left="2880" w:hanging="360"/>
      </w:pPr>
      <w:rPr>
        <w:rFonts w:ascii="Arial" w:hAnsi="Arial" w:hint="default"/>
      </w:rPr>
    </w:lvl>
    <w:lvl w:ilvl="4" w:tplc="0B949258" w:tentative="1">
      <w:start w:val="1"/>
      <w:numFmt w:val="bullet"/>
      <w:lvlText w:val="•"/>
      <w:lvlJc w:val="left"/>
      <w:pPr>
        <w:tabs>
          <w:tab w:val="num" w:pos="3600"/>
        </w:tabs>
        <w:ind w:left="3600" w:hanging="360"/>
      </w:pPr>
      <w:rPr>
        <w:rFonts w:ascii="Arial" w:hAnsi="Arial" w:hint="default"/>
      </w:rPr>
    </w:lvl>
    <w:lvl w:ilvl="5" w:tplc="CEB45AAE" w:tentative="1">
      <w:start w:val="1"/>
      <w:numFmt w:val="bullet"/>
      <w:lvlText w:val="•"/>
      <w:lvlJc w:val="left"/>
      <w:pPr>
        <w:tabs>
          <w:tab w:val="num" w:pos="4320"/>
        </w:tabs>
        <w:ind w:left="4320" w:hanging="360"/>
      </w:pPr>
      <w:rPr>
        <w:rFonts w:ascii="Arial" w:hAnsi="Arial" w:hint="default"/>
      </w:rPr>
    </w:lvl>
    <w:lvl w:ilvl="6" w:tplc="3BC45D4A" w:tentative="1">
      <w:start w:val="1"/>
      <w:numFmt w:val="bullet"/>
      <w:lvlText w:val="•"/>
      <w:lvlJc w:val="left"/>
      <w:pPr>
        <w:tabs>
          <w:tab w:val="num" w:pos="5040"/>
        </w:tabs>
        <w:ind w:left="5040" w:hanging="360"/>
      </w:pPr>
      <w:rPr>
        <w:rFonts w:ascii="Arial" w:hAnsi="Arial" w:hint="default"/>
      </w:rPr>
    </w:lvl>
    <w:lvl w:ilvl="7" w:tplc="64988B74" w:tentative="1">
      <w:start w:val="1"/>
      <w:numFmt w:val="bullet"/>
      <w:lvlText w:val="•"/>
      <w:lvlJc w:val="left"/>
      <w:pPr>
        <w:tabs>
          <w:tab w:val="num" w:pos="5760"/>
        </w:tabs>
        <w:ind w:left="5760" w:hanging="360"/>
      </w:pPr>
      <w:rPr>
        <w:rFonts w:ascii="Arial" w:hAnsi="Arial" w:hint="default"/>
      </w:rPr>
    </w:lvl>
    <w:lvl w:ilvl="8" w:tplc="614AB56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F1A5EB6"/>
    <w:multiLevelType w:val="hybridMultilevel"/>
    <w:tmpl w:val="D2C68B5E"/>
    <w:lvl w:ilvl="0" w:tplc="45C62110">
      <w:start w:val="1"/>
      <w:numFmt w:val="decimal"/>
      <w:lvlText w:val="%1."/>
      <w:lvlJc w:val="left"/>
      <w:pPr>
        <w:ind w:left="720" w:hanging="360"/>
      </w:pPr>
      <w:rPr>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0"/>
  </w:num>
  <w:num w:numId="2">
    <w:abstractNumId w:val="12"/>
  </w:num>
  <w:num w:numId="3">
    <w:abstractNumId w:val="6"/>
  </w:num>
  <w:num w:numId="4">
    <w:abstractNumId w:val="2"/>
  </w:num>
  <w:num w:numId="5">
    <w:abstractNumId w:val="0"/>
  </w:num>
  <w:num w:numId="6">
    <w:abstractNumId w:val="4"/>
  </w:num>
  <w:num w:numId="7">
    <w:abstractNumId w:val="14"/>
  </w:num>
  <w:num w:numId="8">
    <w:abstractNumId w:val="11"/>
  </w:num>
  <w:num w:numId="9">
    <w:abstractNumId w:val="13"/>
  </w:num>
  <w:num w:numId="10">
    <w:abstractNumId w:val="7"/>
  </w:num>
  <w:num w:numId="11">
    <w:abstractNumId w:val="5"/>
  </w:num>
  <w:num w:numId="12">
    <w:abstractNumId w:val="9"/>
  </w:num>
  <w:num w:numId="13">
    <w:abstractNumId w:val="8"/>
  </w:num>
  <w:num w:numId="14">
    <w:abstractNumId w:val="3"/>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E8E"/>
    <w:rsid w:val="000044DB"/>
    <w:rsid w:val="000163BC"/>
    <w:rsid w:val="00075F09"/>
    <w:rsid w:val="000A3C44"/>
    <w:rsid w:val="000C0F37"/>
    <w:rsid w:val="000C2C24"/>
    <w:rsid w:val="000E3B80"/>
    <w:rsid w:val="000F48BD"/>
    <w:rsid w:val="001B14CA"/>
    <w:rsid w:val="001D562B"/>
    <w:rsid w:val="00316451"/>
    <w:rsid w:val="003A5297"/>
    <w:rsid w:val="003D3657"/>
    <w:rsid w:val="003D632F"/>
    <w:rsid w:val="00425842"/>
    <w:rsid w:val="00436285"/>
    <w:rsid w:val="00452A2C"/>
    <w:rsid w:val="00454692"/>
    <w:rsid w:val="00473E8E"/>
    <w:rsid w:val="00523FAA"/>
    <w:rsid w:val="00567DD5"/>
    <w:rsid w:val="005B0A67"/>
    <w:rsid w:val="005C01FC"/>
    <w:rsid w:val="005E79F6"/>
    <w:rsid w:val="006C10D3"/>
    <w:rsid w:val="006E57DB"/>
    <w:rsid w:val="006F1AFF"/>
    <w:rsid w:val="00770B13"/>
    <w:rsid w:val="007C431F"/>
    <w:rsid w:val="008558CC"/>
    <w:rsid w:val="00876776"/>
    <w:rsid w:val="008A1161"/>
    <w:rsid w:val="009064E9"/>
    <w:rsid w:val="00921790"/>
    <w:rsid w:val="0093318F"/>
    <w:rsid w:val="009332E6"/>
    <w:rsid w:val="00936829"/>
    <w:rsid w:val="00987AC3"/>
    <w:rsid w:val="00AA436D"/>
    <w:rsid w:val="00AC270A"/>
    <w:rsid w:val="00AE4284"/>
    <w:rsid w:val="00AF001D"/>
    <w:rsid w:val="00B44E09"/>
    <w:rsid w:val="00BF5838"/>
    <w:rsid w:val="00C31C77"/>
    <w:rsid w:val="00C56A6F"/>
    <w:rsid w:val="00CA1D35"/>
    <w:rsid w:val="00CE3959"/>
    <w:rsid w:val="00D26073"/>
    <w:rsid w:val="00D620D4"/>
    <w:rsid w:val="00DA7B2F"/>
    <w:rsid w:val="00DB3D4F"/>
    <w:rsid w:val="00DD78A0"/>
    <w:rsid w:val="00E10B25"/>
    <w:rsid w:val="00E1629A"/>
    <w:rsid w:val="00EA7192"/>
    <w:rsid w:val="00F6444A"/>
    <w:rsid w:val="00F66653"/>
    <w:rsid w:val="00F809D1"/>
    <w:rsid w:val="00F97C30"/>
    <w:rsid w:val="00FC0C15"/>
    <w:rsid w:val="00FD47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8F3DBB3-F59F-4B30-A41B-FF67AB129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7CC"/>
    <w:pPr>
      <w:spacing w:after="200" w:line="276" w:lineRule="auto"/>
    </w:pPr>
    <w:rPr>
      <w:rFonts w:cs="Calibri"/>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8A116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8A1161"/>
    <w:rPr>
      <w:rFonts w:ascii="Tahoma" w:hAnsi="Tahoma" w:cs="Tahoma"/>
      <w:sz w:val="16"/>
      <w:szCs w:val="16"/>
    </w:rPr>
  </w:style>
  <w:style w:type="table" w:styleId="Grilledutableau">
    <w:name w:val="Table Grid"/>
    <w:basedOn w:val="TableauNormal"/>
    <w:uiPriority w:val="99"/>
    <w:rsid w:val="0087677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F6444A"/>
    <w:pPr>
      <w:tabs>
        <w:tab w:val="center" w:pos="4536"/>
        <w:tab w:val="right" w:pos="9072"/>
      </w:tabs>
      <w:spacing w:after="0" w:line="240" w:lineRule="auto"/>
    </w:pPr>
  </w:style>
  <w:style w:type="character" w:customStyle="1" w:styleId="En-tteCar">
    <w:name w:val="En-tête Car"/>
    <w:basedOn w:val="Policepardfaut"/>
    <w:link w:val="En-tte"/>
    <w:uiPriority w:val="99"/>
    <w:locked/>
    <w:rsid w:val="00F6444A"/>
  </w:style>
  <w:style w:type="paragraph" w:styleId="Pieddepage">
    <w:name w:val="footer"/>
    <w:basedOn w:val="Normal"/>
    <w:link w:val="PieddepageCar"/>
    <w:uiPriority w:val="99"/>
    <w:rsid w:val="00F6444A"/>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F6444A"/>
  </w:style>
  <w:style w:type="paragraph" w:styleId="Paragraphedeliste">
    <w:name w:val="List Paragraph"/>
    <w:basedOn w:val="Normal"/>
    <w:uiPriority w:val="34"/>
    <w:qFormat/>
    <w:rsid w:val="00DA7B2F"/>
    <w:pPr>
      <w:ind w:left="720"/>
    </w:pPr>
  </w:style>
  <w:style w:type="character" w:customStyle="1" w:styleId="st">
    <w:name w:val="st"/>
    <w:basedOn w:val="Policepardfaut"/>
    <w:uiPriority w:val="99"/>
    <w:rsid w:val="00F809D1"/>
  </w:style>
  <w:style w:type="character" w:styleId="Lienhypertexte">
    <w:name w:val="Hyperlink"/>
    <w:basedOn w:val="Policepardfaut"/>
    <w:uiPriority w:val="99"/>
    <w:unhideWhenUsed/>
    <w:rsid w:val="000044DB"/>
    <w:rPr>
      <w:color w:val="0000FF" w:themeColor="hyperlink"/>
      <w:u w:val="single"/>
    </w:rPr>
  </w:style>
  <w:style w:type="character" w:customStyle="1" w:styleId="LienInternet">
    <w:name w:val="Lien Internet"/>
    <w:uiPriority w:val="99"/>
    <w:unhideWhenUsed/>
    <w:rsid w:val="000044DB"/>
    <w:rPr>
      <w:color w:val="0000FF"/>
      <w:u w:val="single"/>
    </w:rPr>
  </w:style>
  <w:style w:type="paragraph" w:styleId="NormalWeb">
    <w:name w:val="Normal (Web)"/>
    <w:basedOn w:val="Normal"/>
    <w:uiPriority w:val="99"/>
    <w:unhideWhenUsed/>
    <w:rsid w:val="00452A2C"/>
    <w:pPr>
      <w:spacing w:before="100" w:beforeAutospacing="1" w:after="100" w:afterAutospacing="1" w:line="240" w:lineRule="auto"/>
      <w:jc w:val="both"/>
    </w:pPr>
    <w:rPr>
      <w:rFonts w:ascii="Times New Roman" w:eastAsia="Times New Roman" w:hAnsi="Times New Roman" w:cs="Times New Roman"/>
      <w:sz w:val="24"/>
      <w:szCs w:val="24"/>
      <w:lang w:val="en-US"/>
    </w:rPr>
  </w:style>
  <w:style w:type="paragraph" w:customStyle="1" w:styleId="Default">
    <w:name w:val="Default"/>
    <w:rsid w:val="00452A2C"/>
    <w:pPr>
      <w:autoSpaceDE w:val="0"/>
      <w:autoSpaceDN w:val="0"/>
      <w:adjustRightInd w:val="0"/>
    </w:pPr>
    <w:rPr>
      <w:rFonts w:ascii="Times New Roman" w:hAnsi="Times New Roman"/>
      <w:color w:val="000000"/>
      <w:sz w:val="24"/>
      <w:szCs w:val="24"/>
      <w:lang w:val="en-US" w:eastAsia="en-US"/>
    </w:rPr>
  </w:style>
  <w:style w:type="paragraph" w:styleId="Notedefin">
    <w:name w:val="endnote text"/>
    <w:basedOn w:val="Normal"/>
    <w:link w:val="NotedefinCar"/>
    <w:uiPriority w:val="99"/>
    <w:semiHidden/>
    <w:unhideWhenUsed/>
    <w:rsid w:val="00452A2C"/>
    <w:pPr>
      <w:spacing w:line="240" w:lineRule="auto"/>
      <w:jc w:val="both"/>
    </w:pPr>
    <w:rPr>
      <w:rFonts w:cs="Times New Roman"/>
      <w:sz w:val="20"/>
      <w:szCs w:val="20"/>
      <w:lang w:val="en-US"/>
    </w:rPr>
  </w:style>
  <w:style w:type="character" w:customStyle="1" w:styleId="NotedefinCar">
    <w:name w:val="Note de fin Car"/>
    <w:basedOn w:val="Policepardfaut"/>
    <w:link w:val="Notedefin"/>
    <w:uiPriority w:val="99"/>
    <w:semiHidden/>
    <w:rsid w:val="00452A2C"/>
    <w:rPr>
      <w:sz w:val="20"/>
      <w:szCs w:val="20"/>
      <w:lang w:val="en-US" w:eastAsia="en-US"/>
    </w:rPr>
  </w:style>
  <w:style w:type="character" w:styleId="Appeldenotedefin">
    <w:name w:val="endnote reference"/>
    <w:uiPriority w:val="99"/>
    <w:semiHidden/>
    <w:unhideWhenUsed/>
    <w:rsid w:val="00452A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757293">
      <w:marLeft w:val="0"/>
      <w:marRight w:val="0"/>
      <w:marTop w:val="0"/>
      <w:marBottom w:val="0"/>
      <w:divBdr>
        <w:top w:val="none" w:sz="0" w:space="0" w:color="auto"/>
        <w:left w:val="none" w:sz="0" w:space="0" w:color="auto"/>
        <w:bottom w:val="none" w:sz="0" w:space="0" w:color="auto"/>
        <w:right w:val="none" w:sz="0" w:space="0" w:color="auto"/>
      </w:divBdr>
    </w:div>
    <w:div w:id="211328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www.un.org/fr/documents/view_doc.asp?symbol=A/HRC/29/36" TargetMode="External"/><Relationship Id="rId13" Type="http://schemas.openxmlformats.org/officeDocument/2006/relationships/hyperlink" Target="http://data.unhcr.org/syrianrefugees/regional.php" TargetMode="External"/><Relationship Id="rId3" Type="http://schemas.openxmlformats.org/officeDocument/2006/relationships/hyperlink" Target="http://www.ohchr.org" TargetMode="External"/><Relationship Id="rId7" Type="http://schemas.openxmlformats.org/officeDocument/2006/relationships/hyperlink" Target="http://www.ohchr.org/EN/NewsEvents/Pages/DisplayNews.aspx?NewsID=16411&amp;LangID=E" TargetMode="External"/><Relationship Id="rId12" Type="http://schemas.openxmlformats.org/officeDocument/2006/relationships/hyperlink" Target="http://data.unhcr.org/syrianrefugees/country.php?id=107" TargetMode="External"/><Relationship Id="rId2" Type="http://schemas.openxmlformats.org/officeDocument/2006/relationships/hyperlink" Target="http://www.un.org/french/documents/view_doc.asp?symbol=CRC%2FGC%2F2005%2F6&amp;Submit=Recherche&amp;Lang=F" TargetMode="External"/><Relationship Id="rId16" Type="http://schemas.openxmlformats.org/officeDocument/2006/relationships/hyperlink" Target="http://daccess-dds-ny.un.org/doc/UNDOC/LTD/G15/141/16/PDF/G1514116.pdf?OpenElement" TargetMode="External"/><Relationship Id="rId1" Type="http://schemas.openxmlformats.org/officeDocument/2006/relationships/hyperlink" Target="http://data.unhcr.org/mediterranean/regional.php" TargetMode="External"/><Relationship Id="rId6" Type="http://schemas.openxmlformats.org/officeDocument/2006/relationships/hyperlink" Target="http://www.ohchr.org/EN/NewsEvents/Pages/DisplayNews.aspx?NewsID=16404&amp;LangID=E" TargetMode="External"/><Relationship Id="rId11" Type="http://schemas.openxmlformats.org/officeDocument/2006/relationships/hyperlink" Target="http://hudoc.echr.coe.int/fre?i=001-103293" TargetMode="External"/><Relationship Id="rId5" Type="http://schemas.openxmlformats.org/officeDocument/2006/relationships/hyperlink" Target="http://daccess-dds-ny.un.org/doc/UNDOC/LTD/G15/141/16/PDF/G1514116.pdf?OpenElement" TargetMode="External"/><Relationship Id="rId15" Type="http://schemas.openxmlformats.org/officeDocument/2006/relationships/hyperlink" Target="http://daccess-dds-ny.un.org/doc/UNDOC/LTD/G15/135/65/PDF/G1513565.pdf?OpenElement" TargetMode="External"/><Relationship Id="rId10" Type="http://schemas.openxmlformats.org/officeDocument/2006/relationships/hyperlink" Target="http://www.un.org/fr/documents/view_doc.asp?symbol=A/HRC/29/36/Add.3" TargetMode="External"/><Relationship Id="rId4" Type="http://schemas.openxmlformats.org/officeDocument/2006/relationships/hyperlink" Target="http://daccess-dds-ny.un.org/doc/UNDOC/LTD/G15/135/65/PDF/G1513565.pdf?OpenElement" TargetMode="External"/><Relationship Id="rId9" Type="http://schemas.openxmlformats.org/officeDocument/2006/relationships/hyperlink" Target="http://www.un.org/fr/documents/view_doc.asp?symbol=A/HRC/29/36/Add.2" TargetMode="External"/><Relationship Id="rId14" Type="http://schemas.openxmlformats.org/officeDocument/2006/relationships/hyperlink" Target="http://data.unhcr.org/syrianrefugees/country.php?id=1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E834C-C406-4E7D-9865-512B77FFF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2168</Words>
  <Characters>11987</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Perrin</dc:creator>
  <cp:lastModifiedBy>Celine Prehel</cp:lastModifiedBy>
  <cp:revision>2</cp:revision>
  <cp:lastPrinted>2015-11-09T16:45:00Z</cp:lastPrinted>
  <dcterms:created xsi:type="dcterms:W3CDTF">2015-12-18T12:22:00Z</dcterms:created>
  <dcterms:modified xsi:type="dcterms:W3CDTF">2015-12-18T12:22:00Z</dcterms:modified>
</cp:coreProperties>
</file>