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7" w:rsidRPr="00ED58E6" w:rsidRDefault="008A1147" w:rsidP="00ED58E6">
      <w:pPr>
        <w:spacing w:before="0" w:beforeAutospacing="0" w:after="0" w:afterAutospacing="0"/>
        <w:rPr>
          <w:rFonts w:ascii="Calibri" w:hAnsi="Calibri"/>
          <w:sz w:val="23"/>
          <w:szCs w:val="23"/>
          <w:lang w:val="pt-BR"/>
        </w:rPr>
      </w:pPr>
      <w:r w:rsidRPr="00ED58E6">
        <w:rPr>
          <w:rFonts w:ascii="Calibri" w:hAnsi="Calibri"/>
          <w:noProof/>
          <w:sz w:val="23"/>
          <w:szCs w:val="23"/>
          <w:lang w:val="pt-BR" w:eastAsia="fr-CH"/>
        </w:rPr>
        <w:t xml:space="preserve">                                                           </w:t>
      </w:r>
      <w:r w:rsidR="00DF7F21">
        <w:rPr>
          <w:rFonts w:ascii="Calibri" w:hAnsi="Calibri"/>
          <w:noProof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_fr_horizontal-avc signature" style="width:132pt;height:78pt;visibility:visible">
            <v:imagedata r:id="rId8" o:title=""/>
          </v:shape>
        </w:pict>
      </w:r>
    </w:p>
    <w:p w:rsidR="008A1147" w:rsidRDefault="008A1147" w:rsidP="00ED58E6">
      <w:pPr>
        <w:pBdr>
          <w:bottom w:val="single" w:sz="12" w:space="1" w:color="auto"/>
        </w:pBdr>
        <w:spacing w:before="0" w:beforeAutospacing="0" w:after="0" w:afterAutospacing="0"/>
        <w:rPr>
          <w:rFonts w:ascii="Calibri" w:hAnsi="Calibri"/>
          <w:sz w:val="23"/>
          <w:szCs w:val="23"/>
          <w:lang w:val="pt-BR"/>
        </w:rPr>
      </w:pPr>
    </w:p>
    <w:p w:rsidR="008A1147" w:rsidRPr="00ED58E6" w:rsidRDefault="008A1147" w:rsidP="00ED58E6">
      <w:pPr>
        <w:pBdr>
          <w:bottom w:val="single" w:sz="12" w:space="1" w:color="auto"/>
        </w:pBdr>
        <w:spacing w:before="0" w:beforeAutospacing="0" w:after="0" w:afterAutospacing="0"/>
        <w:rPr>
          <w:rFonts w:ascii="Calibri" w:hAnsi="Calibri"/>
          <w:sz w:val="23"/>
          <w:szCs w:val="23"/>
          <w:lang w:val="pt-BR"/>
        </w:rPr>
      </w:pPr>
      <w:r w:rsidRPr="00ED58E6">
        <w:rPr>
          <w:rFonts w:ascii="Calibri" w:hAnsi="Calibri"/>
          <w:sz w:val="23"/>
          <w:szCs w:val="23"/>
          <w:lang w:val="pt-BR"/>
        </w:rPr>
        <w:t xml:space="preserve">N° 001/2015                                          Comunicado                   </w:t>
      </w:r>
      <w:r>
        <w:rPr>
          <w:rFonts w:ascii="Calibri" w:hAnsi="Calibri"/>
          <w:sz w:val="23"/>
          <w:szCs w:val="23"/>
          <w:lang w:val="pt-BR"/>
        </w:rPr>
        <w:t xml:space="preserve">               </w:t>
      </w:r>
      <w:r w:rsidRPr="00ED58E6">
        <w:rPr>
          <w:rFonts w:ascii="Calibri" w:hAnsi="Calibri"/>
          <w:sz w:val="23"/>
          <w:szCs w:val="23"/>
          <w:lang w:val="pt-BR"/>
        </w:rPr>
        <w:t xml:space="preserve">Genebra, </w:t>
      </w:r>
      <w:r w:rsidR="00FA281C">
        <w:rPr>
          <w:rFonts w:ascii="Calibri" w:hAnsi="Calibri"/>
          <w:sz w:val="23"/>
          <w:szCs w:val="23"/>
          <w:lang w:val="pt-BR"/>
        </w:rPr>
        <w:t>1</w:t>
      </w:r>
      <w:r w:rsidRPr="00ED58E6">
        <w:rPr>
          <w:rFonts w:ascii="Calibri" w:hAnsi="Calibri"/>
          <w:sz w:val="23"/>
          <w:szCs w:val="23"/>
          <w:lang w:val="pt-BR"/>
        </w:rPr>
        <w:t xml:space="preserve"> de </w:t>
      </w:r>
      <w:r w:rsidR="00FA281C">
        <w:rPr>
          <w:rFonts w:ascii="Calibri" w:hAnsi="Calibri"/>
          <w:sz w:val="23"/>
          <w:szCs w:val="23"/>
          <w:lang w:val="pt-BR"/>
        </w:rPr>
        <w:t>junho</w:t>
      </w:r>
      <w:bookmarkStart w:id="0" w:name="_GoBack"/>
      <w:bookmarkEnd w:id="0"/>
      <w:r w:rsidRPr="00ED58E6">
        <w:rPr>
          <w:rFonts w:ascii="Calibri" w:hAnsi="Calibri"/>
          <w:sz w:val="23"/>
          <w:szCs w:val="23"/>
          <w:lang w:val="pt-BR"/>
        </w:rPr>
        <w:t xml:space="preserve"> de 2015</w:t>
      </w:r>
    </w:p>
    <w:p w:rsidR="008A1147" w:rsidRDefault="008A1147" w:rsidP="00ED58E6">
      <w:pPr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  <w:lang w:val="pt-BR"/>
        </w:rPr>
      </w:pPr>
    </w:p>
    <w:p w:rsidR="008A1147" w:rsidRPr="00ED58E6" w:rsidRDefault="008A1147" w:rsidP="00ED58E6">
      <w:pPr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  <w:lang w:val="pt-BR"/>
        </w:rPr>
      </w:pPr>
      <w:r w:rsidRPr="00ED58E6">
        <w:rPr>
          <w:rFonts w:ascii="Calibri" w:hAnsi="Calibri"/>
          <w:b/>
          <w:sz w:val="23"/>
          <w:szCs w:val="23"/>
          <w:lang w:val="pt-BR"/>
        </w:rPr>
        <w:t>Mobilização contra a Emenda sobre a redução da idade da maioridade penal no Brasil</w:t>
      </w:r>
    </w:p>
    <w:p w:rsidR="008A1147" w:rsidRDefault="008A1147" w:rsidP="00ED58E6">
      <w:pPr>
        <w:spacing w:before="0" w:beforeAutospacing="0" w:after="0" w:afterAutospacing="0"/>
        <w:rPr>
          <w:rFonts w:ascii="Calibri" w:hAnsi="Calibri"/>
          <w:i/>
          <w:sz w:val="23"/>
          <w:szCs w:val="23"/>
          <w:lang w:val="pt-BR"/>
        </w:rPr>
      </w:pPr>
    </w:p>
    <w:p w:rsidR="008A1147" w:rsidRPr="00ED58E6" w:rsidRDefault="008A1147" w:rsidP="00ED58E6">
      <w:pPr>
        <w:spacing w:before="0" w:beforeAutospacing="0" w:after="0" w:afterAutospacing="0"/>
        <w:rPr>
          <w:rFonts w:ascii="Calibri" w:hAnsi="Calibri"/>
          <w:sz w:val="23"/>
          <w:szCs w:val="23"/>
          <w:lang w:val="pt-BR"/>
        </w:rPr>
      </w:pPr>
      <w:r w:rsidRPr="00ED58E6">
        <w:rPr>
          <w:rFonts w:ascii="Calibri" w:hAnsi="Calibri"/>
          <w:i/>
          <w:sz w:val="23"/>
          <w:szCs w:val="23"/>
          <w:lang w:val="pt-BR"/>
        </w:rPr>
        <w:t>Le Bureau International Catholique de l’Enfance</w:t>
      </w:r>
      <w:r w:rsidRPr="00ED58E6">
        <w:rPr>
          <w:rFonts w:ascii="Calibri" w:hAnsi="Calibri"/>
          <w:sz w:val="23"/>
          <w:szCs w:val="23"/>
          <w:lang w:val="pt-BR"/>
        </w:rPr>
        <w:t xml:space="preserve"> (BICE), a Pastoral do Menor - Brasil e suas organizações parceiras e membros da América Latina e Caribe e do mundo inteiro estão muito preocupados com a proposta de Emenda à Constituição PEC 171/1993 que visa reduzir a idade da maioridade penal das crianças e dos adolescentes em conflito com a lei. Essa emenda representa uma ameaça ao acesso das crianças e dos adolescentes à justiça e denota uma incapacidade de encontrar soluções políticas adequadas aos problemas da criminalidade, ao acesso aos direitos e ao cumprimento efetivo dos compromissos e das obrigações do Brasil face aos tratados internacionais ratificados.</w:t>
      </w:r>
    </w:p>
    <w:p w:rsidR="008A1147" w:rsidRDefault="008A1147" w:rsidP="00ED58E6">
      <w:pPr>
        <w:spacing w:before="0" w:beforeAutospacing="0" w:after="0" w:afterAutospacing="0"/>
        <w:rPr>
          <w:rFonts w:ascii="Calibri" w:hAnsi="Calibri"/>
          <w:sz w:val="23"/>
          <w:szCs w:val="23"/>
          <w:lang w:val="pt-BR"/>
        </w:rPr>
      </w:pPr>
    </w:p>
    <w:p w:rsidR="008A1147" w:rsidRPr="00ED58E6" w:rsidRDefault="008A1147" w:rsidP="00ED58E6">
      <w:pPr>
        <w:spacing w:before="0" w:beforeAutospacing="0" w:after="0" w:afterAutospacing="0"/>
        <w:rPr>
          <w:rFonts w:ascii="Calibri" w:hAnsi="Calibri"/>
          <w:sz w:val="23"/>
          <w:szCs w:val="23"/>
          <w:lang w:val="pt-BR"/>
        </w:rPr>
      </w:pPr>
      <w:r w:rsidRPr="00ED58E6">
        <w:rPr>
          <w:rFonts w:ascii="Calibri" w:hAnsi="Calibri"/>
          <w:sz w:val="23"/>
          <w:szCs w:val="23"/>
          <w:lang w:val="pt-BR"/>
        </w:rPr>
        <w:t xml:space="preserve">O artigo 23 do Código Penal do Brasil de 7 de dezembro de 1940, assim como, o artigo 228 da Constituição Federal de 5 de </w:t>
      </w:r>
      <w:smartTag w:uri="urn:schemas-microsoft-com:office:smarttags" w:element="PersonName">
        <w:r w:rsidRPr="00ED58E6">
          <w:rPr>
            <w:rFonts w:ascii="Calibri" w:hAnsi="Calibri"/>
            <w:sz w:val="23"/>
            <w:szCs w:val="23"/>
            <w:lang w:val="pt-BR"/>
          </w:rPr>
          <w:t>ou</w:t>
        </w:r>
      </w:smartTag>
      <w:r w:rsidRPr="00ED58E6">
        <w:rPr>
          <w:rFonts w:ascii="Calibri" w:hAnsi="Calibri"/>
          <w:sz w:val="23"/>
          <w:szCs w:val="23"/>
          <w:lang w:val="pt-BR"/>
        </w:rPr>
        <w:t>tubro de 1988 fixam a idade da maioridade penal das crianças e dos adolescentes em 18 anos. Essa disposição é frequentemente citada como modelo no mundo inteiro pois ela está em conformidade com a interpretação do Comitê dos direitos da criança das Nações Unidas contida na Observação geral n° 10.</w:t>
      </w:r>
    </w:p>
    <w:p w:rsidR="008A1147" w:rsidRDefault="008A1147" w:rsidP="00ED58E6">
      <w:pPr>
        <w:pStyle w:val="Sansinterligne"/>
        <w:rPr>
          <w:b/>
          <w:sz w:val="23"/>
          <w:szCs w:val="23"/>
          <w:lang w:val="pt-BR"/>
        </w:rPr>
      </w:pPr>
    </w:p>
    <w:p w:rsidR="008A1147" w:rsidRPr="00ED58E6" w:rsidRDefault="008A1147" w:rsidP="00ED58E6">
      <w:pPr>
        <w:pStyle w:val="Sansinterligne"/>
        <w:rPr>
          <w:b/>
          <w:sz w:val="23"/>
          <w:szCs w:val="23"/>
          <w:lang w:val="pt-BR"/>
        </w:rPr>
      </w:pPr>
      <w:r w:rsidRPr="00ED58E6">
        <w:rPr>
          <w:b/>
          <w:sz w:val="23"/>
          <w:szCs w:val="23"/>
          <w:lang w:val="pt-BR"/>
        </w:rPr>
        <w:t>A Emenda é contrária às recomendações das Nações Unidas</w:t>
      </w: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>Os mecanismos de supervisão dos direitos humanos das Nações Unidas, principalmente, o Comitê dos direitos da criança e o Comitê dos direitos econômicos, sociais e culturais manifestaram suas preocupações em relação às “ desigualdades dramáticas baseadas na raça, na classe social, no sexo e na situação geográfica que impedem de maneira significativa o progresso em direção à plena realização dos direitos da criança, assim como, as injustiças sociais conexas” no Brasil. A constatação do aumento da violência e da delinquência juvenil é resultante de fatores combinados, tais como: a taxa de desemprego elevada nos jovens, a violência persistente e multiforme realizada contra as crianças e na sociedade brasileira em geral, o empobrecimento de uma grande parte da população, principalmente, os afro-descendentes e os índios brasileiros, a incapacidade das autoridades de combater as gangues e o tráfico de drogas, a fragilização das famílias, a taxa elevada de abandono e de fracasso escolar (43% das crianças de 7 à 14 anos não terminam o oitavo ano da escola fundamental com a idade desejada), a impossibilidade de acesso à vários direitos econômicos, sociais, culturais, civis e políticos, garantidos  como prioritários às crianças e aos adolescentes no artigo 227 da Constituição brasileira.</w:t>
      </w: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  <w:r w:rsidRPr="00ED58E6">
        <w:rPr>
          <w:b/>
          <w:sz w:val="23"/>
          <w:szCs w:val="23"/>
          <w:lang w:val="pt-BR"/>
        </w:rPr>
        <w:t>A Emenda significa um recuo no compremetimento nacional e internacional do</w:t>
      </w:r>
      <w:r w:rsidRPr="00ED58E6">
        <w:rPr>
          <w:sz w:val="23"/>
          <w:szCs w:val="23"/>
          <w:lang w:val="pt-BR"/>
        </w:rPr>
        <w:t xml:space="preserve"> </w:t>
      </w:r>
      <w:r w:rsidRPr="00ED58E6">
        <w:rPr>
          <w:b/>
          <w:sz w:val="23"/>
          <w:szCs w:val="23"/>
          <w:lang w:val="pt-BR"/>
        </w:rPr>
        <w:t>Brasil</w:t>
      </w: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>Nossas organizações ressaltam que a ausência de medidas alternativas consiste num desafio maior apesar de que foi mediante o estímulo do Brasil que a Assembléia Geral das Nações Unidas adot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 xml:space="preserve"> em 18 de dezembro de 2009 as Linhas diretivas relativas às medidas alternativas para as crianças aplicáveis “aos jovens que já beneficiam de uma medida alternativa e que têm, ainda, necessidade (...) de uma proteção 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 xml:space="preserve"> de um apoio depois de ter atingido a maioridade.” Membro do Conselho dos Direitos Humanos das Nações Unidas, o Brasil continua, através de iniciativas individuais 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 xml:space="preserve"> coletivas com o Grupo América Latina e Caribe (GRULAC) e 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 xml:space="preserve">tros grupos regionais, a se posicionar respeituosamente face à letra e ao espírito da Convenção relativa aos direitos da criança (CDC), principalmente, os artigos 3, 37 e </w:t>
      </w:r>
      <w:smartTag w:uri="urn:schemas-microsoft-com:office:smarttags" w:element="metricconverter">
        <w:smartTagPr>
          <w:attr w:name="ProductID" w:val="40. A"/>
        </w:smartTagPr>
        <w:r w:rsidRPr="00ED58E6">
          <w:rPr>
            <w:sz w:val="23"/>
            <w:szCs w:val="23"/>
            <w:lang w:val="pt-BR"/>
          </w:rPr>
          <w:t>40. A</w:t>
        </w:r>
      </w:smartTag>
      <w:r w:rsidRPr="00ED58E6">
        <w:rPr>
          <w:sz w:val="23"/>
          <w:szCs w:val="23"/>
          <w:lang w:val="pt-BR"/>
        </w:rPr>
        <w:t xml:space="preserve"> Emenda em questão arruína os esforços que o Brasil fez no plano nacional a partir dos governos de Fernando </w:t>
      </w:r>
      <w:r w:rsidRPr="00ED58E6">
        <w:rPr>
          <w:sz w:val="23"/>
          <w:szCs w:val="23"/>
          <w:lang w:val="pt-BR"/>
        </w:rPr>
        <w:lastRenderedPageBreak/>
        <w:t>Henrique Cardoso e Luiz Inácio Lula da Silva que tinham, formalmente, se comprometido à não baixar a idade da maioridade penal, e relega o Brasil, no plano internacional, ao patamar dos Estados que recuam na proteção dos direitos das crianças e dos adolescentes. Ele prejudica, ainda, a perenidade dos resultados adquiridos pelos programas “Um Brasil sem miséria” e “Bolsa Família”, assim como, a iniciativa “Brasil Carinhoso”.</w:t>
      </w:r>
    </w:p>
    <w:p w:rsidR="008A1147" w:rsidRPr="00ED58E6" w:rsidRDefault="008A1147" w:rsidP="00ED58E6">
      <w:pPr>
        <w:pStyle w:val="Sansinterligne"/>
        <w:tabs>
          <w:tab w:val="left" w:pos="1608"/>
        </w:tabs>
        <w:jc w:val="both"/>
        <w:rPr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ab/>
      </w:r>
    </w:p>
    <w:p w:rsidR="008A1147" w:rsidRPr="00ED58E6" w:rsidRDefault="008A1147" w:rsidP="00ED58E6">
      <w:pPr>
        <w:pStyle w:val="Sansinterligne"/>
        <w:jc w:val="both"/>
        <w:rPr>
          <w:b/>
          <w:sz w:val="23"/>
          <w:szCs w:val="23"/>
          <w:lang w:val="pt-BR"/>
        </w:rPr>
      </w:pPr>
      <w:r w:rsidRPr="00ED58E6">
        <w:rPr>
          <w:b/>
          <w:sz w:val="23"/>
          <w:szCs w:val="23"/>
          <w:lang w:val="pt-BR"/>
        </w:rPr>
        <w:t>A Emenda ignora a violência e as desigualdades que os adolescentes são vítimas</w:t>
      </w:r>
    </w:p>
    <w:p w:rsidR="008A1147" w:rsidRPr="00ED58E6" w:rsidRDefault="008A1147" w:rsidP="00ED58E6">
      <w:pPr>
        <w:pStyle w:val="Sansinterligne"/>
        <w:jc w:val="both"/>
        <w:rPr>
          <w:bCs/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>Os adolescentes são mais vítimas do que autores de violência. A constatação do aumento dos atos criminais e da delinquência deve-se, antes de tudo, ao fato de que adultos instigadores utilizam os adolescentes pobres em ruptura social e familiar e vítimas de violência. De fato, as cidades de João Pessoa, Maceió,</w:t>
      </w:r>
      <w:r w:rsidRPr="00ED58E6">
        <w:rPr>
          <w:bCs/>
          <w:sz w:val="23"/>
          <w:szCs w:val="23"/>
          <w:lang w:val="pt-BR"/>
        </w:rPr>
        <w:t xml:space="preserve"> Fortaleza, São Luis, Natal, Vitória, Cuiabá, Salvador,  Belém, Teresina, Goiânia, Recife, Campina Grande, Manaus, Porto Alegre, Aracajú, Belo Horizonte, Curitiba e Macapá, registram uma taxa de criminalidade entre as mais elevadas do mundo. Segundo dados do Ministério da Saúde de </w:t>
      </w:r>
      <w:smartTag w:uri="urn:schemas-microsoft-com:office:smarttags" w:element="metricconverter">
        <w:smartTagPr>
          <w:attr w:name="ProductID" w:val="2012, a"/>
        </w:smartTagPr>
        <w:r w:rsidRPr="00ED58E6">
          <w:rPr>
            <w:bCs/>
            <w:sz w:val="23"/>
            <w:szCs w:val="23"/>
            <w:lang w:val="pt-BR"/>
          </w:rPr>
          <w:t>2012, a</w:t>
        </w:r>
      </w:smartTag>
      <w:r w:rsidRPr="00ED58E6">
        <w:rPr>
          <w:bCs/>
          <w:sz w:val="23"/>
          <w:szCs w:val="23"/>
          <w:lang w:val="pt-BR"/>
        </w:rPr>
        <w:t xml:space="preserve"> taxa de homicídio por 100.000 habitantes na população total era de 38,5%. Essa taxa dobr</w:t>
      </w:r>
      <w:smartTag w:uri="urn:schemas-microsoft-com:office:smarttags" w:element="PersonName">
        <w:r w:rsidRPr="00ED58E6">
          <w:rPr>
            <w:bCs/>
            <w:sz w:val="23"/>
            <w:szCs w:val="23"/>
            <w:lang w:val="pt-BR"/>
          </w:rPr>
          <w:t>ou</w:t>
        </w:r>
      </w:smartTag>
      <w:r w:rsidRPr="00ED58E6">
        <w:rPr>
          <w:bCs/>
          <w:sz w:val="23"/>
          <w:szCs w:val="23"/>
          <w:lang w:val="pt-BR"/>
        </w:rPr>
        <w:t xml:space="preserve"> e atingiu 82,7% naquilo que concerne os homicídios praticados contra os jovens. Esses números de violência extrema sofrida pelos adolescentes foram confirmados em 2014 pelo Ministério seguindo o Indice Homicídio Adolescente (IHA). No norte do país – Teresina excluída – o limite trágico de 100 homicídios por 100.000 jovens acaba de ser ultrapassado; em Macéio é ainda o dobro. É, assim, evidente que os jovens sofrem violência mais do que a cometem.</w:t>
      </w:r>
    </w:p>
    <w:p w:rsidR="008A1147" w:rsidRPr="00ED58E6" w:rsidRDefault="008A1147" w:rsidP="00ED58E6">
      <w:pPr>
        <w:pStyle w:val="Sansinterligne"/>
        <w:jc w:val="both"/>
        <w:rPr>
          <w:bCs/>
          <w:sz w:val="23"/>
          <w:szCs w:val="23"/>
          <w:lang w:val="pt-BR"/>
        </w:rPr>
      </w:pPr>
    </w:p>
    <w:p w:rsidR="008A1147" w:rsidRPr="00ED58E6" w:rsidRDefault="008A1147" w:rsidP="00ED58E6">
      <w:pPr>
        <w:pStyle w:val="Sansinterligne"/>
        <w:jc w:val="both"/>
        <w:rPr>
          <w:b/>
          <w:bCs/>
          <w:sz w:val="23"/>
          <w:szCs w:val="23"/>
          <w:lang w:val="pt-BR"/>
        </w:rPr>
      </w:pPr>
      <w:r w:rsidRPr="00ED58E6">
        <w:rPr>
          <w:b/>
          <w:bCs/>
          <w:sz w:val="23"/>
          <w:szCs w:val="23"/>
          <w:lang w:val="pt-BR"/>
        </w:rPr>
        <w:t>A Emenda valida a percepção errônea do grande público à respeito da delinquência juvenil</w:t>
      </w: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 xml:space="preserve">Várias pesquisas de opinião revelam que a maioria da população brasileira deseja o rebaixamento da idade da maioridade penal. Esses resultados são fundados essencialmente na imagem da criança e do adolescente em conflito com a lei nos meios de comunicação onde não somente eles não são mais titulares de direito, mas, igualmente, destinados à acabar seus dias em privação de liberdade; isso é contrário à CDC que defende o interesse superior da criança como primordial, a privação de liberdade como uma medida de último recurso, o tratamento desejável da criança sem recorrer ao processo judiciário, o recurso privilegiado das medidas de substituição à privação de liberdade e a necessidade de facilitar a reintegração na sociedade. Por 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>tro lado, as medidas de endurecimento da repressão não  permitiram, no passado, garantir maior segurança à população brasileira. De fato, a lei 11.343/2006 relativa ao aumento das penas por tráfico de drogas aument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 xml:space="preserve"> em 31,05% a população carcerária sem, para isso, reduzir a insegurança. É a mesma situação em se tratando da lei 8072/1990 que lev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 xml:space="preserve"> ao aumento exponencial do índice de criminalidade para 143,91%. O Brasil deveria concentrar seus esforços na aplicação efetica da lei 8.069/1990 relativa ao Estatuto da Criança e do Adolescentes que prevê uma proteção integral das crianças e dos adolescentes contra a violência e as suas reintegrações.</w:t>
      </w: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 xml:space="preserve">Por </w:t>
      </w:r>
      <w:smartTag w:uri="urn:schemas-microsoft-com:office:smarttags" w:element="PersonName">
        <w:r w:rsidRPr="00ED58E6">
          <w:rPr>
            <w:sz w:val="23"/>
            <w:szCs w:val="23"/>
            <w:lang w:val="pt-BR"/>
          </w:rPr>
          <w:t>ou</w:t>
        </w:r>
      </w:smartTag>
      <w:r w:rsidRPr="00ED58E6">
        <w:rPr>
          <w:sz w:val="23"/>
          <w:szCs w:val="23"/>
          <w:lang w:val="pt-BR"/>
        </w:rPr>
        <w:t>tro lado, a opinião pública ignora o custo econômico e social de uma justiça repressiva e punitiva defendida pela Emenda discutida. É provado que uma justiça reparadora é juridicamente conforme à CDE, economicamente mais rentável e socialmente mais justa.</w:t>
      </w:r>
      <w:r w:rsidRPr="00ED58E6">
        <w:rPr>
          <w:rStyle w:val="Appelnotedebasdep"/>
          <w:sz w:val="23"/>
          <w:szCs w:val="23"/>
          <w:lang w:val="pt-BR"/>
        </w:rPr>
        <w:footnoteReference w:id="1"/>
      </w:r>
      <w:r w:rsidRPr="00ED58E6">
        <w:rPr>
          <w:sz w:val="23"/>
          <w:szCs w:val="23"/>
          <w:lang w:val="pt-BR"/>
        </w:rPr>
        <w:t xml:space="preserve"> A justiça retributiva defendida pela Emenda é, assim, de natureza à pesar no orçamento da justiça do país e à aumentar ainda mais as desigualdades, à desviar a atenção das medidas idôneas da luta contra a violência na sociedade e contra as crianças, e à excluir as crianças e os adolescentes marginalizados e vulneráveis da construção e do desenvolvimento do Brasil.</w:t>
      </w: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</w:p>
    <w:p w:rsidR="008A1147" w:rsidRPr="00ED58E6" w:rsidRDefault="008A1147" w:rsidP="00ED58E6">
      <w:pPr>
        <w:pStyle w:val="Sansinterligne"/>
        <w:jc w:val="both"/>
        <w:rPr>
          <w:sz w:val="23"/>
          <w:szCs w:val="23"/>
          <w:lang w:val="pt-BR"/>
        </w:rPr>
      </w:pPr>
      <w:r w:rsidRPr="00ED58E6">
        <w:rPr>
          <w:sz w:val="23"/>
          <w:szCs w:val="23"/>
          <w:lang w:val="pt-BR"/>
        </w:rPr>
        <w:t>Nossas organizações demandam a rejeição da Emenda PEC 171/1993.</w:t>
      </w:r>
    </w:p>
    <w:p w:rsidR="008A1147" w:rsidRPr="00FA477F" w:rsidRDefault="008A1147" w:rsidP="009E73E1">
      <w:pPr>
        <w:pStyle w:val="Sansinterligne"/>
        <w:jc w:val="both"/>
        <w:rPr>
          <w:sz w:val="24"/>
          <w:szCs w:val="24"/>
          <w:lang w:val="pt-BR"/>
        </w:rPr>
      </w:pPr>
    </w:p>
    <w:p w:rsidR="008A1147" w:rsidRDefault="008A1147" w:rsidP="009E73E1">
      <w:pPr>
        <w:pStyle w:val="Sansinterligne"/>
        <w:jc w:val="both"/>
        <w:rPr>
          <w:sz w:val="24"/>
          <w:szCs w:val="24"/>
          <w:lang w:val="pt-BR"/>
        </w:rPr>
      </w:pPr>
      <w:r w:rsidRPr="00FA477F">
        <w:rPr>
          <w:sz w:val="24"/>
          <w:szCs w:val="24"/>
          <w:lang w:val="pt-BR"/>
        </w:rPr>
        <w:t>Organizações signatárias:</w:t>
      </w:r>
    </w:p>
    <w:p w:rsidR="008A1147" w:rsidRDefault="008A1147" w:rsidP="009E73E1">
      <w:pPr>
        <w:pStyle w:val="Sansinterligne"/>
        <w:jc w:val="both"/>
        <w:rPr>
          <w:sz w:val="24"/>
          <w:szCs w:val="24"/>
          <w:lang w:val="pt-BR"/>
        </w:rPr>
      </w:pP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kern w:val="36"/>
          <w:sz w:val="23"/>
          <w:szCs w:val="23"/>
          <w:lang w:val="es-ES"/>
        </w:rPr>
      </w:pPr>
      <w:r w:rsidRPr="00072E3B">
        <w:rPr>
          <w:rFonts w:ascii="Calibri" w:hAnsi="Calibri" w:cs="Arial"/>
          <w:bCs w:val="0"/>
          <w:kern w:val="36"/>
          <w:sz w:val="23"/>
          <w:szCs w:val="23"/>
          <w:lang w:val="es-ES"/>
        </w:rPr>
        <w:t xml:space="preserve">Asociación Civil Observatorio de Prisiones Arequipa (OPA), </w:t>
      </w:r>
      <w:r w:rsidRPr="00072E3B">
        <w:rPr>
          <w:rFonts w:ascii="Calibri" w:hAnsi="Calibri" w:cs="Arial"/>
          <w:bCs w:val="0"/>
          <w:i/>
          <w:kern w:val="36"/>
          <w:sz w:val="23"/>
          <w:szCs w:val="23"/>
          <w:lang w:val="es-ES"/>
        </w:rPr>
        <w:t>Perú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kern w:val="36"/>
          <w:sz w:val="23"/>
          <w:szCs w:val="23"/>
          <w:lang w:val="es-ES"/>
        </w:rPr>
      </w:pPr>
      <w:r w:rsidRPr="00072E3B">
        <w:rPr>
          <w:rFonts w:ascii="Calibri" w:hAnsi="Calibri" w:cs="Arial"/>
          <w:bCs w:val="0"/>
          <w:sz w:val="23"/>
          <w:szCs w:val="23"/>
          <w:lang w:val="es-ES"/>
        </w:rPr>
        <w:t xml:space="preserve">Mesa Pro-Bice Chile, </w:t>
      </w:r>
      <w:r w:rsidRPr="00072E3B">
        <w:rPr>
          <w:rFonts w:ascii="Calibri" w:hAnsi="Calibri" w:cs="Arial"/>
          <w:bCs w:val="0"/>
          <w:i/>
          <w:sz w:val="23"/>
          <w:szCs w:val="23"/>
          <w:lang w:val="es-ES"/>
        </w:rPr>
        <w:t>Chile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kern w:val="36"/>
          <w:sz w:val="23"/>
          <w:szCs w:val="23"/>
        </w:rPr>
      </w:pPr>
      <w:r w:rsidRPr="00072E3B">
        <w:rPr>
          <w:rFonts w:ascii="Calibri" w:hAnsi="Calibri" w:cs="Arial"/>
          <w:bCs w:val="0"/>
          <w:sz w:val="23"/>
          <w:szCs w:val="23"/>
        </w:rPr>
        <w:t>Bureau International Catholique de l’Enfance (BICE),</w:t>
      </w:r>
      <w:r w:rsidRPr="00072E3B">
        <w:rPr>
          <w:rFonts w:ascii="Calibri" w:hAnsi="Calibri" w:cs="Arial"/>
          <w:sz w:val="23"/>
          <w:szCs w:val="23"/>
        </w:rPr>
        <w:t xml:space="preserve"> Suíça</w:t>
      </w:r>
      <w:r w:rsidRPr="00072E3B">
        <w:rPr>
          <w:rFonts w:ascii="Calibri" w:hAnsi="Calibri" w:cs="Arial"/>
          <w:bCs w:val="0"/>
          <w:i/>
          <w:sz w:val="23"/>
          <w:szCs w:val="23"/>
        </w:rPr>
        <w:t xml:space="preserve"> 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3"/>
          <w:szCs w:val="23"/>
        </w:rPr>
      </w:pPr>
      <w:r w:rsidRPr="00072E3B">
        <w:rPr>
          <w:rFonts w:ascii="Calibri" w:hAnsi="Calibri" w:cs="Arial"/>
          <w:sz w:val="23"/>
          <w:szCs w:val="23"/>
        </w:rPr>
        <w:t xml:space="preserve">Bureau National Catholique de l’Enfance au Mali (BNCE-Mali), </w:t>
      </w:r>
      <w:r w:rsidRPr="00072E3B">
        <w:rPr>
          <w:rFonts w:ascii="Calibri" w:hAnsi="Calibri" w:cs="Arial"/>
          <w:i/>
          <w:sz w:val="23"/>
          <w:szCs w:val="23"/>
        </w:rPr>
        <w:t>Mali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3"/>
          <w:szCs w:val="23"/>
        </w:rPr>
      </w:pPr>
      <w:r w:rsidRPr="00072E3B">
        <w:rPr>
          <w:rFonts w:ascii="Calibri" w:hAnsi="Calibri" w:cs="Arial"/>
          <w:sz w:val="23"/>
          <w:szCs w:val="23"/>
        </w:rPr>
        <w:t xml:space="preserve">Bureau National Catholique de l’Enfance au Togo (BNCE-Togo), </w:t>
      </w:r>
      <w:r w:rsidRPr="00072E3B">
        <w:rPr>
          <w:rFonts w:ascii="Calibri" w:hAnsi="Calibri" w:cs="Arial"/>
          <w:i/>
          <w:sz w:val="23"/>
          <w:szCs w:val="23"/>
        </w:rPr>
        <w:t>Togo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3"/>
          <w:szCs w:val="23"/>
        </w:rPr>
      </w:pPr>
      <w:r w:rsidRPr="00072E3B">
        <w:rPr>
          <w:rFonts w:ascii="Calibri" w:hAnsi="Calibri" w:cs="Arial"/>
          <w:sz w:val="23"/>
          <w:szCs w:val="23"/>
        </w:rPr>
        <w:t xml:space="preserve">Bureau National Catholique de l’Enfance en RDC (BNCE-RDCongo), </w:t>
      </w:r>
      <w:r w:rsidRPr="00072E3B">
        <w:rPr>
          <w:rFonts w:ascii="Calibri" w:hAnsi="Calibri" w:cs="Arial"/>
          <w:i/>
          <w:sz w:val="23"/>
          <w:szCs w:val="23"/>
        </w:rPr>
        <w:t>RD Congo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3"/>
          <w:szCs w:val="23"/>
          <w:lang w:val="es-ES"/>
        </w:rPr>
      </w:pPr>
      <w:r w:rsidRPr="00072E3B">
        <w:rPr>
          <w:rFonts w:ascii="Calibri" w:hAnsi="Calibri" w:cs="Arial"/>
          <w:sz w:val="23"/>
          <w:szCs w:val="23"/>
          <w:lang w:val="es-ES"/>
        </w:rPr>
        <w:t xml:space="preserve">Centros de Educación Popular Puerto Piray, </w:t>
      </w:r>
      <w:r w:rsidRPr="00072E3B">
        <w:rPr>
          <w:rFonts w:ascii="Calibri" w:hAnsi="Calibri" w:cs="Arial"/>
          <w:i/>
          <w:sz w:val="23"/>
          <w:szCs w:val="23"/>
          <w:lang w:val="es-ES"/>
        </w:rPr>
        <w:t>Argentina</w:t>
      </w:r>
    </w:p>
    <w:p w:rsidR="008A1147" w:rsidRPr="00072E3B" w:rsidRDefault="008A1147" w:rsidP="00574860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3"/>
          <w:szCs w:val="23"/>
          <w:lang w:val="es-ES"/>
        </w:rPr>
      </w:pPr>
      <w:r w:rsidRPr="00072E3B">
        <w:rPr>
          <w:rFonts w:ascii="Calibri" w:hAnsi="Calibri" w:cs="Calibri"/>
          <w:sz w:val="23"/>
          <w:szCs w:val="23"/>
          <w:lang w:val="es-ES"/>
        </w:rPr>
        <w:t xml:space="preserve">Centro de Estudios Sociales y Publicaciones (CESIP), </w:t>
      </w:r>
      <w:r w:rsidRPr="00072E3B">
        <w:rPr>
          <w:rFonts w:ascii="Calibri" w:hAnsi="Calibri" w:cs="Calibri"/>
          <w:i/>
          <w:sz w:val="23"/>
          <w:szCs w:val="23"/>
          <w:lang w:val="es-ES"/>
        </w:rPr>
        <w:t>Perú</w:t>
      </w:r>
    </w:p>
    <w:p w:rsidR="008A1147" w:rsidRPr="00072E3B" w:rsidRDefault="008A1147" w:rsidP="00574860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3"/>
          <w:szCs w:val="23"/>
          <w:lang w:val="es-ES"/>
        </w:rPr>
      </w:pPr>
      <w:r w:rsidRPr="00072E3B">
        <w:rPr>
          <w:rFonts w:ascii="Calibri" w:hAnsi="Calibri" w:cs="Arial"/>
          <w:bCs w:val="0"/>
          <w:kern w:val="36"/>
          <w:sz w:val="23"/>
          <w:szCs w:val="23"/>
          <w:lang w:val="es-ES"/>
        </w:rPr>
        <w:t>Compromiso desde la Infancia y Adolescencia (COMETA)</w:t>
      </w:r>
      <w:r w:rsidRPr="00072E3B">
        <w:rPr>
          <w:rFonts w:ascii="Calibri" w:hAnsi="Calibri" w:cs="Arial"/>
          <w:bCs w:val="0"/>
          <w:sz w:val="23"/>
          <w:szCs w:val="23"/>
          <w:lang w:val="es-ES"/>
        </w:rPr>
        <w:t xml:space="preserve">, </w:t>
      </w:r>
      <w:r w:rsidRPr="00072E3B">
        <w:rPr>
          <w:rFonts w:ascii="Calibri" w:hAnsi="Calibri" w:cs="Calibri"/>
          <w:i/>
          <w:sz w:val="23"/>
          <w:szCs w:val="23"/>
          <w:lang w:val="es-ES"/>
        </w:rPr>
        <w:t>Perú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3"/>
          <w:szCs w:val="23"/>
        </w:rPr>
      </w:pPr>
      <w:r w:rsidRPr="00072E3B">
        <w:rPr>
          <w:rFonts w:ascii="Calibri" w:hAnsi="Calibri" w:cs="Arial"/>
          <w:sz w:val="23"/>
          <w:szCs w:val="23"/>
        </w:rPr>
        <w:t>Droits et Dignité p</w:t>
      </w:r>
      <w:smartTag w:uri="urn:schemas-microsoft-com:office:smarttags" w:element="PersonName">
        <w:r w:rsidRPr="00072E3B">
          <w:rPr>
            <w:rFonts w:ascii="Calibri" w:hAnsi="Calibri" w:cs="Arial"/>
            <w:sz w:val="23"/>
            <w:szCs w:val="23"/>
          </w:rPr>
          <w:t>ou</w:t>
        </w:r>
      </w:smartTag>
      <w:r w:rsidRPr="00072E3B">
        <w:rPr>
          <w:rFonts w:ascii="Calibri" w:hAnsi="Calibri" w:cs="Arial"/>
          <w:sz w:val="23"/>
          <w:szCs w:val="23"/>
        </w:rPr>
        <w:t xml:space="preserve">r les Enfants en Côte d’Ivoire (DDE-CI), </w:t>
      </w:r>
      <w:r w:rsidRPr="00072E3B">
        <w:rPr>
          <w:rFonts w:ascii="Calibri" w:hAnsi="Calibri" w:cs="Arial"/>
          <w:i/>
          <w:sz w:val="23"/>
          <w:szCs w:val="23"/>
        </w:rPr>
        <w:t>Costa do Marfim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sz w:val="23"/>
          <w:szCs w:val="23"/>
          <w:lang w:val="es-ES"/>
        </w:rPr>
      </w:pPr>
      <w:r w:rsidRPr="00072E3B">
        <w:rPr>
          <w:rFonts w:ascii="Calibri" w:hAnsi="Calibri" w:cs="Arial"/>
          <w:sz w:val="23"/>
          <w:szCs w:val="23"/>
          <w:lang w:val="es-ES"/>
        </w:rPr>
        <w:t>Instituto de Estudios Comparados en Ciencias Penales de Guatemala (ICCPG)</w:t>
      </w:r>
      <w:r w:rsidRPr="00072E3B">
        <w:rPr>
          <w:rFonts w:ascii="Calibri" w:hAnsi="Calibri" w:cs="Arial"/>
          <w:bCs w:val="0"/>
          <w:sz w:val="23"/>
          <w:szCs w:val="23"/>
          <w:lang w:val="es-ES"/>
        </w:rPr>
        <w:t xml:space="preserve">, </w:t>
      </w:r>
      <w:r w:rsidRPr="00072E3B">
        <w:rPr>
          <w:rFonts w:ascii="Calibri" w:hAnsi="Calibri" w:cs="Arial"/>
          <w:bCs w:val="0"/>
          <w:i/>
          <w:sz w:val="23"/>
          <w:szCs w:val="23"/>
          <w:lang w:val="es-ES"/>
        </w:rPr>
        <w:t>Guatemala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sz w:val="23"/>
          <w:szCs w:val="23"/>
          <w:lang w:val="es-ES"/>
        </w:rPr>
      </w:pPr>
      <w:r w:rsidRPr="00072E3B">
        <w:rPr>
          <w:rFonts w:ascii="Calibri" w:hAnsi="Calibri" w:cs="Arial"/>
          <w:bCs w:val="0"/>
          <w:sz w:val="23"/>
          <w:szCs w:val="23"/>
          <w:lang w:val="es-ES"/>
        </w:rPr>
        <w:t xml:space="preserve">Oficina de Derechos Humanos del Arzobispado de Guatemala (ODHAG), </w:t>
      </w:r>
      <w:r w:rsidRPr="00072E3B">
        <w:rPr>
          <w:rFonts w:ascii="Calibri" w:hAnsi="Calibri" w:cs="Arial"/>
          <w:bCs w:val="0"/>
          <w:i/>
          <w:sz w:val="23"/>
          <w:szCs w:val="23"/>
          <w:lang w:val="es-ES"/>
        </w:rPr>
        <w:t>Guatemala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3"/>
          <w:szCs w:val="23"/>
          <w:lang w:val="pt-PT"/>
        </w:rPr>
      </w:pPr>
      <w:r w:rsidRPr="00072E3B">
        <w:rPr>
          <w:rFonts w:ascii="Calibri" w:hAnsi="Calibri" w:cs="Arial"/>
          <w:sz w:val="23"/>
          <w:szCs w:val="23"/>
          <w:lang w:val="pt-PT"/>
        </w:rPr>
        <w:t xml:space="preserve">Pastoral do Menor, </w:t>
      </w:r>
      <w:r w:rsidRPr="00072E3B">
        <w:rPr>
          <w:rFonts w:ascii="Calibri" w:hAnsi="Calibri" w:cs="Arial"/>
          <w:i/>
          <w:sz w:val="23"/>
          <w:szCs w:val="23"/>
          <w:lang w:val="pt-PT"/>
        </w:rPr>
        <w:t>Brasil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sz w:val="23"/>
          <w:szCs w:val="23"/>
          <w:lang w:val="es-CO"/>
        </w:rPr>
      </w:pPr>
      <w:r w:rsidRPr="00072E3B">
        <w:rPr>
          <w:rFonts w:ascii="Calibri" w:hAnsi="Calibri"/>
          <w:sz w:val="23"/>
          <w:szCs w:val="23"/>
          <w:lang w:val="es-CO"/>
        </w:rPr>
        <w:t>Congregación Religiosos Terciarios Capuchinos</w:t>
      </w:r>
      <w:r w:rsidRPr="00072E3B">
        <w:rPr>
          <w:rFonts w:ascii="Calibri" w:hAnsi="Calibri" w:cs="Helvetica"/>
          <w:sz w:val="23"/>
          <w:szCs w:val="23"/>
          <w:lang w:val="es-CO"/>
        </w:rPr>
        <w:t xml:space="preserve">, </w:t>
      </w:r>
      <w:r w:rsidRPr="00072E3B">
        <w:rPr>
          <w:rFonts w:ascii="Calibri" w:hAnsi="Calibri" w:cs="Helvetica"/>
          <w:i/>
          <w:sz w:val="23"/>
          <w:szCs w:val="23"/>
          <w:lang w:val="es-CO"/>
        </w:rPr>
        <w:t>Colombia</w:t>
      </w:r>
    </w:p>
    <w:p w:rsidR="008A1147" w:rsidRPr="00072E3B" w:rsidRDefault="008A1147" w:rsidP="00574860">
      <w:pPr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bCs w:val="0"/>
          <w:sz w:val="23"/>
          <w:szCs w:val="23"/>
          <w:lang w:val="es-CO"/>
        </w:rPr>
      </w:pPr>
      <w:r w:rsidRPr="00072E3B">
        <w:rPr>
          <w:rFonts w:ascii="Calibri" w:hAnsi="Calibri"/>
          <w:sz w:val="23"/>
          <w:szCs w:val="23"/>
          <w:lang w:val="es-CO"/>
        </w:rPr>
        <w:t>Centro La Dolorosa "Congregación Religiosos Terciarios Capuchinos</w:t>
      </w:r>
      <w:r w:rsidRPr="00072E3B">
        <w:rPr>
          <w:rFonts w:ascii="Calibri" w:hAnsi="Calibri" w:cs="Helvetica"/>
          <w:sz w:val="23"/>
          <w:szCs w:val="23"/>
          <w:lang w:val="es-CO"/>
        </w:rPr>
        <w:t xml:space="preserve">, </w:t>
      </w:r>
      <w:r w:rsidRPr="00072E3B">
        <w:rPr>
          <w:rFonts w:ascii="Calibri" w:hAnsi="Calibri" w:cs="Helvetica"/>
          <w:i/>
          <w:sz w:val="23"/>
          <w:szCs w:val="23"/>
          <w:lang w:val="es-CO"/>
        </w:rPr>
        <w:t>Equador</w:t>
      </w:r>
    </w:p>
    <w:p w:rsidR="008A1147" w:rsidRPr="00072E3B" w:rsidRDefault="008A1147" w:rsidP="00574860">
      <w:pPr>
        <w:pStyle w:val="Paragraphedeliste"/>
        <w:numPr>
          <w:ilvl w:val="0"/>
          <w:numId w:val="10"/>
        </w:numPr>
        <w:rPr>
          <w:sz w:val="23"/>
          <w:szCs w:val="23"/>
          <w:lang w:val="es-CO"/>
        </w:rPr>
      </w:pPr>
      <w:r w:rsidRPr="00072E3B">
        <w:rPr>
          <w:sz w:val="23"/>
          <w:szCs w:val="23"/>
          <w:lang w:val="es-CO"/>
        </w:rPr>
        <w:t xml:space="preserve">SUMA QAMAÑA, Espacio Transdisciplinario integral de acompañamiento a personas, organizaciones y comunidades en sus procesos de desarrollo, autonomía y « buen vivir », </w:t>
      </w:r>
      <w:r w:rsidRPr="00072E3B">
        <w:rPr>
          <w:i/>
          <w:sz w:val="23"/>
          <w:szCs w:val="23"/>
          <w:lang w:val="es-CO"/>
        </w:rPr>
        <w:t>Argentina</w:t>
      </w:r>
      <w:r w:rsidRPr="00072E3B">
        <w:rPr>
          <w:sz w:val="23"/>
          <w:szCs w:val="23"/>
          <w:lang w:val="es-CO"/>
        </w:rPr>
        <w:t xml:space="preserve"> </w:t>
      </w:r>
    </w:p>
    <w:p w:rsidR="008A1147" w:rsidRPr="00ED58E6" w:rsidRDefault="008A1147" w:rsidP="00574860">
      <w:pPr>
        <w:spacing w:before="0" w:beforeAutospacing="0" w:after="0" w:afterAutospacing="0"/>
        <w:ind w:left="720"/>
        <w:rPr>
          <w:rFonts w:ascii="Calibri" w:hAnsi="Calibri" w:cs="Arial"/>
          <w:bCs w:val="0"/>
          <w:sz w:val="23"/>
          <w:szCs w:val="23"/>
          <w:lang w:val="es-ES"/>
        </w:rPr>
      </w:pPr>
    </w:p>
    <w:p w:rsidR="008A1147" w:rsidRPr="00ED58E6" w:rsidRDefault="008A1147" w:rsidP="00574860">
      <w:pPr>
        <w:rPr>
          <w:rFonts w:ascii="Calibri" w:hAnsi="Calibri"/>
          <w:bCs w:val="0"/>
          <w:sz w:val="23"/>
          <w:szCs w:val="23"/>
          <w:lang w:val="es-ES"/>
        </w:rPr>
      </w:pPr>
    </w:p>
    <w:p w:rsidR="008A1147" w:rsidRPr="00ED58E6" w:rsidRDefault="008A1147" w:rsidP="00574860">
      <w:pPr>
        <w:rPr>
          <w:bCs w:val="0"/>
          <w:sz w:val="25"/>
          <w:szCs w:val="25"/>
          <w:lang w:val="es-ES"/>
        </w:rPr>
      </w:pPr>
    </w:p>
    <w:p w:rsidR="008A1147" w:rsidRPr="00B460D1" w:rsidRDefault="008A1147" w:rsidP="00574860">
      <w:pPr>
        <w:pBdr>
          <w:top w:val="single" w:sz="2" w:space="1" w:color="auto"/>
        </w:pBdr>
        <w:rPr>
          <w:rFonts w:ascii="Calibri" w:hAnsi="Calibri"/>
          <w:bCs w:val="0"/>
          <w:sz w:val="18"/>
          <w:szCs w:val="18"/>
        </w:rPr>
      </w:pPr>
      <w:r w:rsidRPr="00B460D1">
        <w:rPr>
          <w:rFonts w:ascii="Calibri" w:hAnsi="Calibri"/>
          <w:bCs w:val="0"/>
          <w:sz w:val="18"/>
          <w:szCs w:val="18"/>
          <w:u w:val="single"/>
        </w:rPr>
        <w:t>Contacts</w:t>
      </w:r>
      <w:r w:rsidRPr="00B460D1">
        <w:rPr>
          <w:rFonts w:ascii="Calibri" w:hAnsi="Calibri"/>
          <w:bCs w:val="0"/>
          <w:sz w:val="18"/>
          <w:szCs w:val="18"/>
        </w:rPr>
        <w:t xml:space="preserve">: Alessandra Aula, secrétaire générale du BICE, Tel. +41 22 552 24 50, </w:t>
      </w:r>
      <w:hyperlink r:id="rId9" w:history="1">
        <w:r w:rsidRPr="00B460D1">
          <w:rPr>
            <w:rStyle w:val="Lienhypertexte"/>
            <w:rFonts w:ascii="Calibri" w:hAnsi="Calibri"/>
            <w:bCs w:val="0"/>
            <w:sz w:val="18"/>
            <w:szCs w:val="18"/>
          </w:rPr>
          <w:t>alesandra@bice.org</w:t>
        </w:r>
      </w:hyperlink>
      <w:r w:rsidRPr="00B460D1">
        <w:rPr>
          <w:rFonts w:ascii="Calibri" w:hAnsi="Calibri"/>
          <w:bCs w:val="0"/>
          <w:sz w:val="18"/>
          <w:szCs w:val="18"/>
        </w:rPr>
        <w:t>. Yao Agbetse, Coordinateur du plaidoyer international</w:t>
      </w:r>
      <w:r>
        <w:rPr>
          <w:rFonts w:ascii="Calibri" w:hAnsi="Calibri"/>
          <w:bCs w:val="0"/>
          <w:sz w:val="18"/>
          <w:szCs w:val="18"/>
        </w:rPr>
        <w:t xml:space="preserve"> du BICE</w:t>
      </w:r>
      <w:r w:rsidRPr="00B460D1">
        <w:rPr>
          <w:rFonts w:ascii="Calibri" w:hAnsi="Calibri"/>
          <w:bCs w:val="0"/>
          <w:sz w:val="18"/>
          <w:szCs w:val="18"/>
        </w:rPr>
        <w:t xml:space="preserve">, Tel. +41 552 24 51, </w:t>
      </w:r>
      <w:hyperlink r:id="rId10" w:history="1">
        <w:r w:rsidRPr="00B460D1">
          <w:rPr>
            <w:rStyle w:val="Lienhypertexte"/>
            <w:rFonts w:ascii="Calibri" w:hAnsi="Calibri"/>
            <w:bCs w:val="0"/>
            <w:sz w:val="18"/>
            <w:szCs w:val="18"/>
          </w:rPr>
          <w:t>yao.agbetse@bice.org</w:t>
        </w:r>
      </w:hyperlink>
      <w:r w:rsidRPr="00B460D1">
        <w:rPr>
          <w:rFonts w:ascii="Calibri" w:hAnsi="Calibri"/>
          <w:bCs w:val="0"/>
          <w:sz w:val="18"/>
          <w:szCs w:val="18"/>
        </w:rPr>
        <w:t xml:space="preserve">. Carmen Serrano, </w:t>
      </w:r>
      <w:r>
        <w:rPr>
          <w:rFonts w:ascii="Calibri" w:hAnsi="Calibri"/>
          <w:bCs w:val="0"/>
          <w:sz w:val="18"/>
          <w:szCs w:val="18"/>
        </w:rPr>
        <w:t>Responsable du réseau BICE pour l’Amérique latine et les Caraïbes</w:t>
      </w:r>
      <w:r w:rsidRPr="00B460D1">
        <w:rPr>
          <w:rFonts w:ascii="Calibri" w:hAnsi="Calibri"/>
          <w:bCs w:val="0"/>
          <w:sz w:val="18"/>
          <w:szCs w:val="18"/>
        </w:rPr>
        <w:t xml:space="preserve">, Tel. +32 </w:t>
      </w:r>
      <w:r w:rsidRPr="00334795">
        <w:rPr>
          <w:rFonts w:ascii="Calibri" w:hAnsi="Calibri"/>
          <w:bCs w:val="0"/>
          <w:sz w:val="18"/>
          <w:szCs w:val="18"/>
        </w:rPr>
        <w:t>479 31 66 13</w:t>
      </w:r>
      <w:r w:rsidRPr="00B460D1">
        <w:rPr>
          <w:rFonts w:ascii="Calibri" w:hAnsi="Calibri"/>
          <w:bCs w:val="0"/>
          <w:sz w:val="18"/>
          <w:szCs w:val="18"/>
        </w:rPr>
        <w:t xml:space="preserve">, </w:t>
      </w:r>
      <w:hyperlink r:id="rId11" w:history="1">
        <w:r w:rsidRPr="00B460D1">
          <w:rPr>
            <w:rStyle w:val="Lienhypertexte"/>
            <w:rFonts w:ascii="Calibri" w:hAnsi="Calibri" w:cs="Calibri"/>
            <w:sz w:val="18"/>
            <w:szCs w:val="18"/>
          </w:rPr>
          <w:t>carmen.serrano@bice.org</w:t>
        </w:r>
      </w:hyperlink>
      <w:r w:rsidRPr="00B460D1">
        <w:rPr>
          <w:rFonts w:ascii="Calibri" w:hAnsi="Calibri" w:cs="Calibri"/>
          <w:color w:val="000080"/>
          <w:sz w:val="18"/>
          <w:szCs w:val="18"/>
        </w:rPr>
        <w:t xml:space="preserve"> </w:t>
      </w:r>
    </w:p>
    <w:p w:rsidR="008A1147" w:rsidRDefault="008A1147" w:rsidP="00574860">
      <w:pPr>
        <w:rPr>
          <w:sz w:val="18"/>
          <w:szCs w:val="18"/>
        </w:rPr>
      </w:pPr>
    </w:p>
    <w:p w:rsidR="008A1147" w:rsidRDefault="008A1147" w:rsidP="00574860">
      <w:pPr>
        <w:rPr>
          <w:sz w:val="18"/>
          <w:szCs w:val="18"/>
        </w:rPr>
      </w:pPr>
    </w:p>
    <w:p w:rsidR="008A1147" w:rsidRPr="00FA477F" w:rsidRDefault="008A1147" w:rsidP="009E73E1">
      <w:pPr>
        <w:pStyle w:val="Sansinterligne"/>
        <w:jc w:val="both"/>
        <w:rPr>
          <w:sz w:val="24"/>
          <w:szCs w:val="24"/>
          <w:lang w:val="pt-BR"/>
        </w:rPr>
      </w:pPr>
    </w:p>
    <w:sectPr w:rsidR="008A1147" w:rsidRPr="00FA477F" w:rsidSect="001A0161">
      <w:footerReference w:type="even" r:id="rId12"/>
      <w:footerReference w:type="default" r:id="rId13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21" w:rsidRDefault="00DF7F21" w:rsidP="000E3B70">
      <w:pPr>
        <w:spacing w:before="0" w:after="0"/>
      </w:pPr>
      <w:r>
        <w:separator/>
      </w:r>
    </w:p>
  </w:endnote>
  <w:endnote w:type="continuationSeparator" w:id="0">
    <w:p w:rsidR="00DF7F21" w:rsidRDefault="00DF7F21" w:rsidP="000E3B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47" w:rsidRDefault="008A1147" w:rsidP="008E3F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1147" w:rsidRDefault="008A1147" w:rsidP="001A01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47" w:rsidRPr="001A0161" w:rsidRDefault="008A1147" w:rsidP="008E3FC2">
    <w:pPr>
      <w:pStyle w:val="Pieddepage"/>
      <w:framePr w:wrap="around" w:vAnchor="text" w:hAnchor="margin" w:xAlign="right" w:y="1"/>
      <w:rPr>
        <w:rStyle w:val="Numrodepage"/>
        <w:rFonts w:ascii="Calibri" w:hAnsi="Calibri"/>
        <w:sz w:val="18"/>
        <w:szCs w:val="18"/>
      </w:rPr>
    </w:pPr>
    <w:r w:rsidRPr="001A0161">
      <w:rPr>
        <w:rStyle w:val="Numrodepage"/>
        <w:rFonts w:ascii="Calibri" w:hAnsi="Calibri"/>
        <w:sz w:val="18"/>
        <w:szCs w:val="18"/>
      </w:rPr>
      <w:fldChar w:fldCharType="begin"/>
    </w:r>
    <w:r w:rsidRPr="001A0161">
      <w:rPr>
        <w:rStyle w:val="Numrodepage"/>
        <w:rFonts w:ascii="Calibri" w:hAnsi="Calibri"/>
        <w:sz w:val="18"/>
        <w:szCs w:val="18"/>
      </w:rPr>
      <w:instrText xml:space="preserve">PAGE  </w:instrText>
    </w:r>
    <w:r w:rsidRPr="001A0161">
      <w:rPr>
        <w:rStyle w:val="Numrodepage"/>
        <w:rFonts w:ascii="Calibri" w:hAnsi="Calibri"/>
        <w:sz w:val="18"/>
        <w:szCs w:val="18"/>
      </w:rPr>
      <w:fldChar w:fldCharType="separate"/>
    </w:r>
    <w:r w:rsidR="00FA281C">
      <w:rPr>
        <w:rStyle w:val="Numrodepage"/>
        <w:rFonts w:ascii="Calibri" w:hAnsi="Calibri"/>
        <w:noProof/>
        <w:sz w:val="18"/>
        <w:szCs w:val="18"/>
      </w:rPr>
      <w:t>1</w:t>
    </w:r>
    <w:r w:rsidRPr="001A0161">
      <w:rPr>
        <w:rStyle w:val="Numrodepage"/>
        <w:rFonts w:ascii="Calibri" w:hAnsi="Calibri"/>
        <w:sz w:val="18"/>
        <w:szCs w:val="18"/>
      </w:rPr>
      <w:fldChar w:fldCharType="end"/>
    </w:r>
  </w:p>
  <w:p w:rsidR="008A1147" w:rsidRDefault="008A1147" w:rsidP="001A01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21" w:rsidRDefault="00DF7F21" w:rsidP="000E3B70">
      <w:pPr>
        <w:spacing w:before="0" w:after="0"/>
      </w:pPr>
      <w:r>
        <w:separator/>
      </w:r>
    </w:p>
  </w:footnote>
  <w:footnote w:type="continuationSeparator" w:id="0">
    <w:p w:rsidR="00DF7F21" w:rsidRDefault="00DF7F21" w:rsidP="000E3B70">
      <w:pPr>
        <w:spacing w:before="0" w:after="0"/>
      </w:pPr>
      <w:r>
        <w:continuationSeparator/>
      </w:r>
    </w:p>
  </w:footnote>
  <w:footnote w:id="1">
    <w:p w:rsidR="008A1147" w:rsidRDefault="008A1147">
      <w:pPr>
        <w:pStyle w:val="Notedebasdepage"/>
        <w:spacing w:beforeAutospacing="0" w:afterAutospacing="0"/>
      </w:pPr>
      <w:r>
        <w:rPr>
          <w:rStyle w:val="Appelnotedebasdep"/>
        </w:rPr>
        <w:footnoteRef/>
      </w:r>
      <w:r w:rsidRPr="00ED58E6">
        <w:rPr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Mario J. Rizzo, “Economic Costs, Moral Costs or Retributive Justice: the Rationale of Criminal Law”, NY University Paper, n° 79-11, April 1979. </w:t>
      </w:r>
      <w:r>
        <w:rPr>
          <w:rFonts w:ascii="Calibri" w:hAnsi="Calibri" w:cs="Arial"/>
          <w:sz w:val="18"/>
          <w:szCs w:val="18"/>
          <w:lang w:val="en-GB"/>
        </w:rPr>
        <w:t>Catherine M. Sharkey, “</w:t>
      </w:r>
      <w:r>
        <w:rPr>
          <w:rFonts w:ascii="Calibri" w:hAnsi="Calibri"/>
          <w:sz w:val="18"/>
          <w:szCs w:val="18"/>
          <w:lang w:val="en-GB"/>
        </w:rPr>
        <w:t>Economic analysis of punitive damages: Theory, empirics, and doctrine” (2012), New York University Law and Economics Working Papers. Paper 289.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599"/>
    <w:multiLevelType w:val="multilevel"/>
    <w:tmpl w:val="1902A3C2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upperRoman"/>
      <w:suff w:val="nothing"/>
      <w:lvlText w:val="Teil %2: "/>
      <w:lvlJc w:val="left"/>
      <w:pPr>
        <w:ind w:left="567" w:hanging="567"/>
      </w:pPr>
      <w:rPr>
        <w:rFonts w:ascii="Arial" w:hAnsi="Arial" w:cs="Times New Roman" w:hint="default"/>
        <w:b/>
        <w:i w:val="0"/>
        <w:sz w:val="32"/>
        <w:szCs w:val="32"/>
      </w:rPr>
    </w:lvl>
    <w:lvl w:ilvl="2">
      <w:start w:val="1"/>
      <w:numFmt w:val="decimal"/>
      <w:lvlRestart w:val="0"/>
      <w:lvlText w:val="§ %3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upperRoman"/>
      <w:lvlText w:val="%1%4."/>
      <w:lvlJc w:val="left"/>
      <w:pPr>
        <w:tabs>
          <w:tab w:val="num" w:pos="1080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%5."/>
      <w:lvlJc w:val="left"/>
      <w:pPr>
        <w:tabs>
          <w:tab w:val="num" w:pos="1080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lvlText w:val="%1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27"/>
      <w:numFmt w:val="lowerLetter"/>
      <w:pStyle w:val="Titre7"/>
      <w:lvlText w:val="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pStyle w:val="Titre8"/>
      <w:lvlText w:val="%1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Letter"/>
      <w:pStyle w:val="Titre9"/>
      <w:lvlText w:val="%1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">
    <w:nsid w:val="4EC40072"/>
    <w:multiLevelType w:val="multilevel"/>
    <w:tmpl w:val="536E2CCC"/>
    <w:lvl w:ilvl="0">
      <w:start w:val="1"/>
      <w:numFmt w:val="upperLetter"/>
      <w:lvlText w:val="%1."/>
      <w:lvlJc w:val="center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-1"/>
        <w:sz w:val="26"/>
        <w:szCs w:val="26"/>
        <w:vertAlign w:val="baseline"/>
      </w:rPr>
    </w:lvl>
    <w:lvl w:ilvl="1">
      <w:start w:val="1"/>
      <w:numFmt w:val="upperRoman"/>
      <w:pStyle w:val="Titre2"/>
      <w:lvlText w:val="%2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30"/>
        <w:szCs w:val="30"/>
      </w:rPr>
    </w:lvl>
    <w:lvl w:ilvl="2">
      <w:start w:val="1"/>
      <w:numFmt w:val="upperRoman"/>
      <w:isLgl/>
      <w:lvlText w:val="%3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kern w:val="28"/>
        <w:sz w:val="28"/>
        <w:szCs w:val="28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/>
        <w:color w:val="auto"/>
        <w:sz w:val="25"/>
        <w:szCs w:val="25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55B127A6"/>
    <w:multiLevelType w:val="multilevel"/>
    <w:tmpl w:val="124E87B2"/>
    <w:lvl w:ilvl="0">
      <w:start w:val="1"/>
      <w:numFmt w:val="decimal"/>
      <w:lvlText w:val="%1."/>
      <w:lvlJc w:val="center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spacing w:val="0"/>
        <w:kern w:val="24"/>
        <w:position w:val="-1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itre3"/>
      <w:lvlText w:val="%3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kern w:val="28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5A012F05"/>
    <w:multiLevelType w:val="hybridMultilevel"/>
    <w:tmpl w:val="FF1EA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58713D"/>
    <w:multiLevelType w:val="multilevel"/>
    <w:tmpl w:val="3404E312"/>
    <w:lvl w:ilvl="0">
      <w:start w:val="1"/>
      <w:numFmt w:val="upperLetter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-1"/>
        <w:sz w:val="26"/>
        <w:szCs w:val="26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upperRoman"/>
      <w:isLgl/>
      <w:lvlText w:val="%3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kern w:val="28"/>
        <w:sz w:val="28"/>
        <w:szCs w:val="28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61151DFB"/>
    <w:multiLevelType w:val="multilevel"/>
    <w:tmpl w:val="CA942BCC"/>
    <w:lvl w:ilvl="0">
      <w:start w:val="1"/>
      <w:numFmt w:val="lowerLetter"/>
      <w:lvlText w:val="%1"/>
      <w:lvlJc w:val="center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spacing w:val="0"/>
        <w:kern w:val="24"/>
        <w:position w:val="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upperRoman"/>
      <w:isLgl/>
      <w:lvlText w:val="%3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kern w:val="28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/>
        <w:kern w:val="25"/>
        <w:sz w:val="25"/>
        <w:szCs w:val="25"/>
      </w:rPr>
    </w:lvl>
    <w:lvl w:ilvl="5">
      <w:start w:val="27"/>
      <w:numFmt w:val="lowerLetter"/>
      <w:pStyle w:val="Titre6"/>
      <w:lvlText w:val="%6)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4E"/>
    <w:rsid w:val="00002AC7"/>
    <w:rsid w:val="00072E3B"/>
    <w:rsid w:val="00081F74"/>
    <w:rsid w:val="000E3B70"/>
    <w:rsid w:val="00155705"/>
    <w:rsid w:val="00173B74"/>
    <w:rsid w:val="001A0161"/>
    <w:rsid w:val="001B174C"/>
    <w:rsid w:val="00245B3A"/>
    <w:rsid w:val="00276AC8"/>
    <w:rsid w:val="00293650"/>
    <w:rsid w:val="003023FE"/>
    <w:rsid w:val="003275C1"/>
    <w:rsid w:val="00334795"/>
    <w:rsid w:val="00356581"/>
    <w:rsid w:val="0036039A"/>
    <w:rsid w:val="00400D23"/>
    <w:rsid w:val="00410A83"/>
    <w:rsid w:val="004163DC"/>
    <w:rsid w:val="00427C31"/>
    <w:rsid w:val="0047417C"/>
    <w:rsid w:val="004D7416"/>
    <w:rsid w:val="004E08DA"/>
    <w:rsid w:val="00517FF1"/>
    <w:rsid w:val="005421DF"/>
    <w:rsid w:val="005460E1"/>
    <w:rsid w:val="0055147F"/>
    <w:rsid w:val="00574860"/>
    <w:rsid w:val="00652026"/>
    <w:rsid w:val="0068182C"/>
    <w:rsid w:val="006B0C22"/>
    <w:rsid w:val="006B1BA3"/>
    <w:rsid w:val="006E301B"/>
    <w:rsid w:val="007441DD"/>
    <w:rsid w:val="007663EA"/>
    <w:rsid w:val="00792951"/>
    <w:rsid w:val="007B137F"/>
    <w:rsid w:val="007F6F75"/>
    <w:rsid w:val="008A1147"/>
    <w:rsid w:val="008E3FC2"/>
    <w:rsid w:val="008F50E6"/>
    <w:rsid w:val="009657FE"/>
    <w:rsid w:val="00990537"/>
    <w:rsid w:val="009E73E1"/>
    <w:rsid w:val="00A27C55"/>
    <w:rsid w:val="00A415DB"/>
    <w:rsid w:val="00AA1678"/>
    <w:rsid w:val="00AB05B0"/>
    <w:rsid w:val="00AE2E97"/>
    <w:rsid w:val="00B460D1"/>
    <w:rsid w:val="00C33C5F"/>
    <w:rsid w:val="00C762E3"/>
    <w:rsid w:val="00C85DA9"/>
    <w:rsid w:val="00CB2F40"/>
    <w:rsid w:val="00D06D9E"/>
    <w:rsid w:val="00D36578"/>
    <w:rsid w:val="00D458B0"/>
    <w:rsid w:val="00D5407B"/>
    <w:rsid w:val="00DA277B"/>
    <w:rsid w:val="00DF7F21"/>
    <w:rsid w:val="00E174FB"/>
    <w:rsid w:val="00E74105"/>
    <w:rsid w:val="00EB531F"/>
    <w:rsid w:val="00EC78B2"/>
    <w:rsid w:val="00ED36B5"/>
    <w:rsid w:val="00ED58E6"/>
    <w:rsid w:val="00F24F76"/>
    <w:rsid w:val="00F31E92"/>
    <w:rsid w:val="00F3333E"/>
    <w:rsid w:val="00F440AC"/>
    <w:rsid w:val="00F529DC"/>
    <w:rsid w:val="00F5490F"/>
    <w:rsid w:val="00FA174E"/>
    <w:rsid w:val="00FA281C"/>
    <w:rsid w:val="00FA477F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68182C"/>
    <w:pPr>
      <w:spacing w:before="100" w:beforeAutospacing="1" w:after="100" w:afterAutospacing="1"/>
      <w:jc w:val="both"/>
    </w:pPr>
    <w:rPr>
      <w:bCs/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68182C"/>
    <w:pPr>
      <w:keepNext/>
      <w:suppressAutoHyphens/>
      <w:spacing w:after="480" w:line="360" w:lineRule="exact"/>
      <w:jc w:val="left"/>
      <w:outlineLvl w:val="0"/>
    </w:pPr>
    <w:rPr>
      <w:b/>
      <w:kern w:val="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8182C"/>
    <w:pPr>
      <w:keepNext/>
      <w:numPr>
        <w:ilvl w:val="1"/>
        <w:numId w:val="4"/>
      </w:numPr>
      <w:tabs>
        <w:tab w:val="left" w:pos="709"/>
      </w:tabs>
      <w:suppressAutoHyphens/>
      <w:spacing w:before="480" w:after="360" w:line="340" w:lineRule="exact"/>
      <w:jc w:val="left"/>
      <w:outlineLvl w:val="1"/>
    </w:pPr>
    <w:rPr>
      <w:b/>
      <w:kern w:val="22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68182C"/>
    <w:pPr>
      <w:keepNext/>
      <w:numPr>
        <w:ilvl w:val="2"/>
        <w:numId w:val="2"/>
      </w:numPr>
      <w:tabs>
        <w:tab w:val="left" w:pos="709"/>
      </w:tabs>
      <w:suppressAutoHyphens/>
      <w:spacing w:before="360" w:after="240" w:line="320" w:lineRule="exact"/>
      <w:jc w:val="left"/>
      <w:outlineLvl w:val="2"/>
    </w:pPr>
    <w:rPr>
      <w:b/>
      <w:kern w:val="2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68182C"/>
    <w:pPr>
      <w:keepNext/>
      <w:numPr>
        <w:ilvl w:val="3"/>
        <w:numId w:val="3"/>
      </w:numPr>
      <w:tabs>
        <w:tab w:val="left" w:pos="709"/>
      </w:tabs>
      <w:suppressAutoHyphens/>
      <w:spacing w:before="240" w:after="180" w:line="300" w:lineRule="exact"/>
      <w:jc w:val="left"/>
      <w:outlineLvl w:val="3"/>
    </w:pPr>
    <w:rPr>
      <w:b/>
      <w:kern w:val="22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68182C"/>
    <w:pPr>
      <w:keepNext/>
      <w:numPr>
        <w:ilvl w:val="4"/>
        <w:numId w:val="4"/>
      </w:numPr>
      <w:tabs>
        <w:tab w:val="left" w:pos="709"/>
      </w:tabs>
      <w:suppressAutoHyphens/>
      <w:spacing w:before="240" w:after="180" w:line="260" w:lineRule="exact"/>
      <w:jc w:val="left"/>
      <w:outlineLvl w:val="4"/>
    </w:pPr>
    <w:rPr>
      <w:b/>
      <w:i/>
      <w:kern w:val="25"/>
      <w:sz w:val="25"/>
      <w:szCs w:val="25"/>
    </w:rPr>
  </w:style>
  <w:style w:type="paragraph" w:styleId="Titre6">
    <w:name w:val="heading 6"/>
    <w:basedOn w:val="Normal"/>
    <w:next w:val="Normal"/>
    <w:link w:val="Titre6Car"/>
    <w:uiPriority w:val="99"/>
    <w:qFormat/>
    <w:rsid w:val="0068182C"/>
    <w:pPr>
      <w:keepNext/>
      <w:keepLines/>
      <w:widowControl w:val="0"/>
      <w:numPr>
        <w:ilvl w:val="5"/>
        <w:numId w:val="5"/>
      </w:numPr>
      <w:tabs>
        <w:tab w:val="left" w:pos="709"/>
      </w:tabs>
      <w:spacing w:before="240" w:after="180" w:line="260" w:lineRule="exact"/>
      <w:jc w:val="left"/>
      <w:outlineLvl w:val="5"/>
    </w:pPr>
    <w:rPr>
      <w:bCs w:val="0"/>
      <w:i/>
      <w:kern w:val="22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68182C"/>
    <w:pPr>
      <w:keepNext/>
      <w:widowControl w:val="0"/>
      <w:numPr>
        <w:ilvl w:val="6"/>
        <w:numId w:val="8"/>
      </w:numPr>
      <w:spacing w:before="240" w:after="180"/>
      <w:outlineLvl w:val="6"/>
    </w:pPr>
    <w:rPr>
      <w:bCs w:val="0"/>
      <w:i/>
      <w:kern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8182C"/>
    <w:pPr>
      <w:keepNext/>
      <w:keepLines/>
      <w:widowControl w:val="0"/>
      <w:numPr>
        <w:ilvl w:val="7"/>
        <w:numId w:val="8"/>
      </w:numPr>
      <w:spacing w:before="240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68182C"/>
    <w:pPr>
      <w:keepNext/>
      <w:widowControl w:val="0"/>
      <w:numPr>
        <w:ilvl w:val="8"/>
        <w:numId w:val="8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8182C"/>
    <w:rPr>
      <w:rFonts w:cs="Times New Roman"/>
      <w:b/>
      <w:bCs/>
      <w:kern w:val="40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68182C"/>
    <w:rPr>
      <w:rFonts w:cs="Times New Roman"/>
      <w:b/>
      <w:bCs/>
      <w:kern w:val="22"/>
      <w:sz w:val="30"/>
      <w:szCs w:val="30"/>
    </w:rPr>
  </w:style>
  <w:style w:type="character" w:customStyle="1" w:styleId="Titre3Car">
    <w:name w:val="Titre 3 Car"/>
    <w:link w:val="Titre3"/>
    <w:uiPriority w:val="99"/>
    <w:locked/>
    <w:rsid w:val="0068182C"/>
    <w:rPr>
      <w:rFonts w:cs="Times New Roman"/>
      <w:b/>
      <w:bCs/>
      <w:kern w:val="28"/>
      <w:sz w:val="28"/>
      <w:szCs w:val="28"/>
    </w:rPr>
  </w:style>
  <w:style w:type="character" w:customStyle="1" w:styleId="Titre4Car">
    <w:name w:val="Titre 4 Car"/>
    <w:link w:val="Titre4"/>
    <w:uiPriority w:val="99"/>
    <w:locked/>
    <w:rsid w:val="0068182C"/>
    <w:rPr>
      <w:rFonts w:cs="Times New Roman"/>
      <w:b/>
      <w:bCs/>
      <w:kern w:val="22"/>
      <w:sz w:val="26"/>
      <w:szCs w:val="26"/>
    </w:rPr>
  </w:style>
  <w:style w:type="character" w:customStyle="1" w:styleId="Titre5Car">
    <w:name w:val="Titre 5 Car"/>
    <w:link w:val="Titre5"/>
    <w:uiPriority w:val="99"/>
    <w:locked/>
    <w:rsid w:val="0068182C"/>
    <w:rPr>
      <w:rFonts w:cs="Times New Roman"/>
      <w:b/>
      <w:bCs/>
      <w:i/>
      <w:kern w:val="25"/>
      <w:sz w:val="25"/>
      <w:szCs w:val="25"/>
    </w:rPr>
  </w:style>
  <w:style w:type="character" w:customStyle="1" w:styleId="Titre6Car">
    <w:name w:val="Titre 6 Car"/>
    <w:link w:val="Titre6"/>
    <w:uiPriority w:val="99"/>
    <w:locked/>
    <w:rsid w:val="0068182C"/>
    <w:rPr>
      <w:rFonts w:eastAsia="Times New Roman" w:cs="Times New Roman"/>
      <w:i/>
      <w:kern w:val="22"/>
      <w:sz w:val="24"/>
      <w:szCs w:val="24"/>
    </w:rPr>
  </w:style>
  <w:style w:type="character" w:customStyle="1" w:styleId="Titre7Car">
    <w:name w:val="Titre 7 Car"/>
    <w:link w:val="Titre7"/>
    <w:uiPriority w:val="99"/>
    <w:locked/>
    <w:rsid w:val="0068182C"/>
    <w:rPr>
      <w:rFonts w:eastAsia="Times New Roman" w:cs="Times New Roman"/>
      <w:i/>
      <w:kern w:val="24"/>
      <w:sz w:val="22"/>
      <w:szCs w:val="22"/>
    </w:rPr>
  </w:style>
  <w:style w:type="character" w:customStyle="1" w:styleId="Titre8Car">
    <w:name w:val="Titre 8 Car"/>
    <w:link w:val="Titre8"/>
    <w:uiPriority w:val="99"/>
    <w:locked/>
    <w:rsid w:val="0068182C"/>
    <w:rPr>
      <w:rFonts w:cs="Times New Roman"/>
      <w:bCs/>
      <w:sz w:val="22"/>
      <w:szCs w:val="22"/>
    </w:rPr>
  </w:style>
  <w:style w:type="character" w:customStyle="1" w:styleId="Titre9Car">
    <w:name w:val="Titre 9 Car"/>
    <w:link w:val="Titre9"/>
    <w:uiPriority w:val="99"/>
    <w:locked/>
    <w:rsid w:val="0068182C"/>
    <w:rPr>
      <w:rFonts w:cs="Times New Roman"/>
      <w:bCs/>
      <w:sz w:val="22"/>
      <w:szCs w:val="22"/>
    </w:rPr>
  </w:style>
  <w:style w:type="paragraph" w:styleId="Titre">
    <w:name w:val="Title"/>
    <w:basedOn w:val="Normal"/>
    <w:link w:val="TitreCar"/>
    <w:autoRedefine/>
    <w:uiPriority w:val="99"/>
    <w:qFormat/>
    <w:rsid w:val="0068182C"/>
    <w:pPr>
      <w:spacing w:before="1800" w:line="540" w:lineRule="exact"/>
      <w:jc w:val="center"/>
      <w:outlineLvl w:val="6"/>
    </w:pPr>
    <w:rPr>
      <w:b/>
      <w:kern w:val="48"/>
      <w:sz w:val="48"/>
      <w:szCs w:val="48"/>
    </w:rPr>
  </w:style>
  <w:style w:type="character" w:customStyle="1" w:styleId="TitreCar">
    <w:name w:val="Titre Car"/>
    <w:link w:val="Titre"/>
    <w:uiPriority w:val="99"/>
    <w:locked/>
    <w:rsid w:val="0068182C"/>
    <w:rPr>
      <w:rFonts w:cs="Times New Roman"/>
      <w:b/>
      <w:bCs/>
      <w:kern w:val="48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8182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68182C"/>
    <w:rPr>
      <w:rFonts w:ascii="Cambria" w:hAnsi="Cambria" w:cs="Times New Roman"/>
      <w:bCs/>
      <w:i/>
      <w:iCs/>
      <w:color w:val="4F81BD"/>
      <w:spacing w:val="15"/>
      <w:sz w:val="24"/>
      <w:szCs w:val="24"/>
    </w:rPr>
  </w:style>
  <w:style w:type="character" w:styleId="Accentuation">
    <w:name w:val="Emphasis"/>
    <w:uiPriority w:val="99"/>
    <w:qFormat/>
    <w:rsid w:val="0068182C"/>
    <w:rPr>
      <w:rFonts w:cs="Times New Roman"/>
      <w:i/>
      <w:iCs/>
    </w:rPr>
  </w:style>
  <w:style w:type="paragraph" w:styleId="Sansinterligne">
    <w:name w:val="No Spacing"/>
    <w:uiPriority w:val="99"/>
    <w:qFormat/>
    <w:rsid w:val="0068182C"/>
    <w:rPr>
      <w:rFonts w:ascii="Calibri" w:hAnsi="Calibri"/>
      <w:sz w:val="22"/>
      <w:szCs w:val="22"/>
      <w:lang w:val="fr-CH" w:eastAsia="en-US"/>
    </w:rPr>
  </w:style>
  <w:style w:type="paragraph" w:styleId="Paragraphedeliste">
    <w:name w:val="List Paragraph"/>
    <w:basedOn w:val="Normal"/>
    <w:uiPriority w:val="99"/>
    <w:qFormat/>
    <w:rsid w:val="0068182C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Rfrenceple">
    <w:name w:val="Subtle Reference"/>
    <w:uiPriority w:val="99"/>
    <w:qFormat/>
    <w:rsid w:val="0068182C"/>
    <w:rPr>
      <w:rFonts w:cs="Times New Roman"/>
      <w:smallCaps/>
      <w:color w:val="C0504D"/>
      <w:u w:val="single"/>
    </w:rPr>
  </w:style>
  <w:style w:type="character" w:styleId="Rfrenceintense">
    <w:name w:val="Intense Reference"/>
    <w:uiPriority w:val="99"/>
    <w:qFormat/>
    <w:rsid w:val="0068182C"/>
    <w:rPr>
      <w:rFonts w:cs="Times New Roman"/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99"/>
    <w:qFormat/>
    <w:rsid w:val="0068182C"/>
    <w:rPr>
      <w:rFonts w:cs="Times New Roman"/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rsid w:val="009657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657FE"/>
    <w:rPr>
      <w:rFonts w:ascii="Tahoma" w:hAnsi="Tahoma" w:cs="Tahoma"/>
      <w:bCs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0E3B7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E3B70"/>
    <w:rPr>
      <w:rFonts w:cs="Times New Roman"/>
      <w:bCs/>
    </w:rPr>
  </w:style>
  <w:style w:type="character" w:styleId="Appelnotedebasdep">
    <w:name w:val="footnote reference"/>
    <w:uiPriority w:val="99"/>
    <w:semiHidden/>
    <w:rsid w:val="000E3B70"/>
    <w:rPr>
      <w:rFonts w:cs="Times New Roman"/>
      <w:vertAlign w:val="superscript"/>
    </w:rPr>
  </w:style>
  <w:style w:type="character" w:styleId="Lienhypertexte">
    <w:name w:val="Hyperlink"/>
    <w:uiPriority w:val="99"/>
    <w:semiHidden/>
    <w:rsid w:val="003275C1"/>
    <w:rPr>
      <w:rFonts w:cs="Times New Roman"/>
      <w:color w:val="0000FF"/>
      <w:u w:val="single"/>
    </w:rPr>
  </w:style>
  <w:style w:type="character" w:customStyle="1" w:styleId="ellipsistext">
    <w:name w:val="ellipsis_text"/>
    <w:uiPriority w:val="99"/>
    <w:rsid w:val="00173B7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A01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97D1F"/>
    <w:rPr>
      <w:bCs/>
      <w:lang w:val="fr-CH"/>
    </w:rPr>
  </w:style>
  <w:style w:type="character" w:styleId="Numrodepage">
    <w:name w:val="page number"/>
    <w:uiPriority w:val="99"/>
    <w:rsid w:val="001A0161"/>
    <w:rPr>
      <w:rFonts w:cs="Times New Roman"/>
    </w:rPr>
  </w:style>
  <w:style w:type="paragraph" w:styleId="En-tte">
    <w:name w:val="header"/>
    <w:basedOn w:val="Normal"/>
    <w:link w:val="En-tteCar"/>
    <w:uiPriority w:val="99"/>
    <w:rsid w:val="001A01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97D1F"/>
    <w:rPr>
      <w:bCs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men.serrano@bi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o.agbetse@b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andra@bi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 Adriane</dc:creator>
  <cp:keywords/>
  <dc:description/>
  <cp:lastModifiedBy>Marina Gente</cp:lastModifiedBy>
  <cp:revision>5</cp:revision>
  <cp:lastPrinted>2015-04-30T15:26:00Z</cp:lastPrinted>
  <dcterms:created xsi:type="dcterms:W3CDTF">2015-05-15T09:35:00Z</dcterms:created>
  <dcterms:modified xsi:type="dcterms:W3CDTF">2015-06-01T09:05:00Z</dcterms:modified>
</cp:coreProperties>
</file>